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iCs/>
                <w:smallCaps w:val="0"/>
                <w:color w:val="000000"/>
                <w:sz w:val="22"/>
                <w:szCs w:val="22"/>
                <w:bdr w:val="nil"/>
                <w:rtl w:val="0"/>
              </w:rPr>
              <w:t>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consists of enforceable rules governing relationships among individuals and between individuals and their society.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is a source of American law that is comprised of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 includes only the U.S. Constitution.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Whether a law is constitutional depends on its source.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 includes state statutes.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Statutory law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county ordinances.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No state has adopted the Uniform Commercial Code in its entirety.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 includes only state regulations.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common law system, judges are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obligated to follow the precedents established within their jurisdictions.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refers to law that is common throughout the world.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iCs/>
                <w:smallCaps w:val="0"/>
                <w:color w:val="000000"/>
                <w:sz w:val="22"/>
                <w:szCs w:val="22"/>
                <w:bdr w:val="nil"/>
                <w:rtl w:val="0"/>
              </w:rPr>
              <w:t>Common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w:t>
            </w:r>
            <w:r>
              <w:rPr>
                <w:rStyle w:val="DefaultParagraphFont"/>
                <w:rFonts w:ascii="Times New Roman" w:eastAsia="Times New Roman" w:hAnsi="Times New Roman" w:cs="Times New Roman"/>
                <w:b w:val="0"/>
                <w:bCs w:val="0"/>
                <w:i w:val="0"/>
                <w:iCs w:val="0"/>
                <w:smallCaps w:val="0"/>
                <w:color w:val="000000"/>
                <w:sz w:val="22"/>
                <w:szCs w:val="22"/>
                <w:bdr w:val="nil"/>
                <w:rtl w:val="0"/>
              </w:rPr>
              <w:t>is a term for the laws that are familiar to most of us.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Courts do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depart from precedents.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Remedies in equity include injunctions.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In most states, the courts no longer grant “equitable” remedies.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law is the law of a foreign nation and varies from country to country.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law focuses on duties that exist between persons.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federal form of government, the national government does not share sovereign power with the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Constitution, the judicial branch interprets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The checks and balances in the U.S. Constitution prevent any one branch of government from exercising too much power.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term </w:t>
            </w:r>
            <w:r>
              <w:rPr>
                <w:rStyle w:val="DefaultParagraphFont"/>
                <w:rFonts w:ascii="Times New Roman" w:eastAsia="Times New Roman" w:hAnsi="Times New Roman" w:cs="Times New Roman"/>
                <w:b w:val="0"/>
                <w:bCs w:val="0"/>
                <w:i/>
                <w:iCs/>
                <w:smallCaps w:val="0"/>
                <w:color w:val="000000"/>
                <w:sz w:val="22"/>
                <w:szCs w:val="22"/>
                <w:bdr w:val="nil"/>
                <w:rtl w:val="0"/>
              </w:rPr>
              <w:t>police powers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encompasses just the enforcement of criminal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expressly delegated to the states the power to regulate interstate commerce.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All powers not specifically delegated to the federal government are reserved to the states.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supremacy clause, a valid federal statute or regulation will preempt a conflicting state or local law or regulation on the same general subject.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Bill of Rights protects individuals against various types of conduct by the federal government.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First Amendment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protect symbolic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Amendment prevents limits from being placed on independent political expenditures by corporations.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First Amendment protects commercial speech more extensively than noncommercial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clause requires a complete separation of church and state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that has any impact on religion is unconstitutional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Fourteenth Amendment guarantees a right to due process of law.</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Substantive due process limits what the government can do in its legislative and executive capacities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A law that discriminates based on gender must substantially relate to an important government objective to be valid under the equal protection clause.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 means that the government cannot enact laws that treat similarly situated individuals differently.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State laws protect individuals’ privacy rights.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1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 explicitly mentions a general right to privacy.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True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4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False</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Uniform Commercial Code has been adopted, at least in part, in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forty-five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thirty-five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The Bay City Planning Department, the Coastal County Zoning Commission, the Delaware Environmental Quality Agency, and the U.S. Bureau of Land Management issue regulations. These rules constitute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case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Consumer Product Safety Commission is a government agency that issues rules, orders, and decisions. The Colorado state legislature enacts statutes. The Washington County Board and the Silver City Council enact ordinances. Administrative law includes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laws that affect a business’s operation.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rules, orders, and decisions of the Consumer Product Safety Commission.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the Colorado state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ordinances enacted by the Washington County Board and the Silver City Council.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Much of American law is based 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English legal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Spanish legal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civil law of the Greeks.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Ancient Chinese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Charles is a federal judge whose judicial decisions are part of case law, which does </w:t>
            </w:r>
            <w:r>
              <w:rPr>
                <w:rStyle w:val="DefaultParagraphFont"/>
                <w:rFonts w:ascii="Times New Roman" w:eastAsia="Times New Roman" w:hAnsi="Times New Roman" w:cs="Times New Roman"/>
                <w:b w:val="0"/>
                <w:bCs w:val="0"/>
                <w:i/>
                <w:iCs/>
                <w:smallCaps w:val="0"/>
                <w:color w:val="000000"/>
                <w:sz w:val="22"/>
                <w:szCs w:val="22"/>
                <w:bdr w:val="nil"/>
                <w:rtl w:val="0"/>
              </w:rPr>
              <w:t>not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include interpretations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created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provisions.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parties’ subjective motives for engaging in litigation.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As a judge, Baxter applies common law rules. These rules develop from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2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decisions of the courts in legal disputes.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regulations issued by administrative agencies.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statutes enacted by Congress and the state legislatures.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uniform laws drafted by legal scholars.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Ian enters into a contract with Jill’s Farm to provide water for Jill’s irrigation needs. Ian fails to deliver. Jill initiates a suit against Ian, asking the court to order Ian to perform. Jill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plaintiff.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defendant.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binding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persuasive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w:t>
            </w:r>
            <w:r>
              <w:rPr>
                <w:rStyle w:val="DefaultParagraphFont"/>
                <w:rFonts w:ascii="Times New Roman" w:eastAsia="Times New Roman" w:hAnsi="Times New Roman" w:cs="Times New Roman"/>
                <w:b w:val="0"/>
                <w:bCs w:val="0"/>
                <w:i/>
                <w:iCs/>
                <w:smallCaps w:val="0"/>
                <w:color w:val="000000"/>
                <w:sz w:val="22"/>
                <w:szCs w:val="22"/>
                <w:bdr w:val="nil"/>
                <w:rtl w:val="0"/>
              </w:rPr>
              <w:t>Benny v. City Car Dealership</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state supreme court held that a minor could cancel a contract for the sale of a car. Now a trial court in the same state is deciding </w:t>
            </w:r>
            <w:r>
              <w:rPr>
                <w:rStyle w:val="DefaultParagraphFont"/>
                <w:rFonts w:ascii="Times New Roman" w:eastAsia="Times New Roman" w:hAnsi="Times New Roman" w:cs="Times New Roman"/>
                <w:b w:val="0"/>
                <w:bCs w:val="0"/>
                <w:i/>
                <w:iCs/>
                <w:smallCaps w:val="0"/>
                <w:color w:val="000000"/>
                <w:sz w:val="22"/>
                <w:szCs w:val="22"/>
                <w:bdr w:val="nil"/>
                <w:rtl w:val="0"/>
              </w:rPr>
              <w:t>Dora v. Even Steven Auto Deals,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 case with similar facts. Under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the trial court is likely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allow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disregard the Benny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order the minor to cancel the contract.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 the minor to fulfill the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There are no precedents on which the court deciding the case </w:t>
            </w:r>
            <w:r>
              <w:rPr>
                <w:rStyle w:val="DefaultParagraphFont"/>
                <w:rFonts w:ascii="Times New Roman" w:eastAsia="Times New Roman" w:hAnsi="Times New Roman" w:cs="Times New Roman"/>
                <w:b w:val="0"/>
                <w:bCs w:val="0"/>
                <w:i/>
                <w:iCs/>
                <w:smallCaps w:val="0"/>
                <w:color w:val="000000"/>
                <w:sz w:val="22"/>
                <w:szCs w:val="22"/>
                <w:bdr w:val="nil"/>
                <w:rtl w:val="0"/>
              </w:rPr>
              <w:t>Standard Resource Co. v. Topline Inventory, Inc.,</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can base its decision. The court can consider, among other things,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opinions of the friends and relatives of the judge.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results of a poll of those in the courtroom.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policy or social values.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an action against Gina, Harry obtains a </w:t>
            </w:r>
            <w:r>
              <w:rPr>
                <w:rStyle w:val="DefaultParagraphFont"/>
                <w:rFonts w:ascii="Times New Roman" w:eastAsia="Times New Roman" w:hAnsi="Times New Roman" w:cs="Times New Roman"/>
                <w:b w:val="0"/>
                <w:bCs w:val="0"/>
                <w:i/>
                <w:iCs/>
                <w:smallCaps w:val="0"/>
                <w:color w:val="000000"/>
                <w:sz w:val="22"/>
                <w:szCs w:val="22"/>
                <w:bdr w:val="nil"/>
                <w:rtl w:val="0"/>
              </w:rPr>
              <w:t>remedy.</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9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administrative agency’s enforcement of its rule.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principle of the law derived from earlier court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a state legislature or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means to enforce a right or to compensate for the violation of a right.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James and Kay enter into a contract for the sale of a bicycle, but Kay later refuses to deliver the goods. James asks a court to order Kay to perform as promised. Ordering a party to perform what was promised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equitable remedy.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unenforceable demand.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beyond the court’s authority.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suit against Ilene, Jenna obtains an </w:t>
            </w:r>
            <w:r>
              <w:rPr>
                <w:rStyle w:val="DefaultParagraphFont"/>
                <w:rFonts w:ascii="Times New Roman" w:eastAsia="Times New Roman" w:hAnsi="Times New Roman" w:cs="Times New Roman"/>
                <w:b w:val="0"/>
                <w:bCs w:val="0"/>
                <w:i/>
                <w:iCs/>
                <w:smallCaps w:val="0"/>
                <w:color w:val="000000"/>
                <w:sz w:val="22"/>
                <w:szCs w:val="22"/>
                <w:bdr w:val="nil"/>
                <w:rtl w:val="0"/>
              </w:rPr>
              <w:t>injunction.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This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8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do or to refrain from doing a particular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an order to perform what was promised.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payment of money or property as compensation.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cancellation of a contract.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Reba is a state court judge. In her court, legal and equitable remedies have merged. In these circumstances, distinguishing between these types of remedies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legal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important because equitable remedies cannot be granted today.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important so that statistical data on the remedies can be compiled.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important so that the proper remedy can be requested.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branch of law dealing with the definition and enforcement of all private or public rights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Criminal acts are prohibited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0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local statutes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state statues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statutes only.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local, state, and federal statutes.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Statutes passed by a state legislature apply within the state’s boundaries. Laws enacted by the U.S. Congress pertain to the United States. Treaties between the United States and other nations can affect the signatories’ relations. </w:t>
            </w:r>
            <w:r>
              <w:rPr>
                <w:rStyle w:val="DefaultParagraphFont"/>
                <w:rFonts w:ascii="Times New Roman" w:eastAsia="Times New Roman" w:hAnsi="Times New Roman" w:cs="Times New Roman"/>
                <w:b w:val="0"/>
                <w:bCs w:val="0"/>
                <w:i/>
                <w:iCs/>
                <w:smallCaps w:val="0"/>
                <w:color w:val="000000"/>
                <w:sz w:val="22"/>
                <w:szCs w:val="22"/>
                <w:bdr w:val="nil"/>
                <w:rtl w:val="0"/>
              </w:rPr>
              <w:t>National law</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3"/>
              <w:gridCol w:w="805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that pertains to a particular 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law that has an extraterritorial effect.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law that is applied within a nation’s courts, including international law and the law of another country.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law, as opposed to state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Energy Resources Association would like a certain law enacted, administered, interpreted, and enforced in the best interest of its members, which include fossil fuel companies. Under the Constitution, Congress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administers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enforces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interprets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enacts the laws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 sets forth specific powers that can be exercised by the national government and provides that the national government has the implied power to undertake actions necessary to carry its expressly designated powers. All other powers are expressly reserved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A statute enacted by the Nebraska state legislature to regulate trucking affects interstate commerce. In evaluating this statute, the courts will balance the burden that it imposes on interstate commerce against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98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courts’ authority to determine that a law is unconstitutional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purpose of interstate commerce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state’s interest in regulating the matter</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statute’s impact on noneconomic activity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commerce clause’s express grant of exclusive authority to regulate commerce that substantially affects trade and commerce among states is referred to as the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dormant aspect.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positive aspect.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negative aspect.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active aspect.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National Hospital Organization (NHO), a political lobbying group, wants a certain healthcare cost-reimbursement policy enacted into law. If NHO’s policy conflicts with the U.S. Constitution, a law embodying it can be imposed by</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 federal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A decision by the federal Environmental Protection Agency (EPA) on the amount of carbon that can be emitted from a car’s exhaust system conflicts with a California state law. In this situation, under the supremacy clause,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the decision and the law are invalid.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both the decision and the law apply concurrently.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California’s law takes precedence.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EPA’s decision takes precedence.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Lyndon, a citizen of Maryland, obtains a federal license to operate a commercial fishing boat in a certain area off the Maryland coast. The Maryland state legislature enacts a law that bans all commercial fishing in that area. The state law most likely violates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7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 provision in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commerce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due process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Bradley, the president of Commerce &amp; Trade, Inc., claims that certain actions by the federal government and the state of Delaware infringe on rights guaranteed by the Bill of Rights. </w:t>
            </w:r>
            <w:r>
              <w:rPr>
                <w:rStyle w:val="DefaultParagraphFont"/>
                <w:rFonts w:ascii="Times New Roman" w:eastAsia="Times New Roman" w:hAnsi="Times New Roman" w:cs="Times New Roman"/>
                <w:b w:val="0"/>
                <w:bCs w:val="0"/>
                <w:i/>
                <w:iCs/>
                <w:smallCaps w:val="0"/>
                <w:color w:val="000000"/>
                <w:sz w:val="22"/>
                <w:szCs w:val="22"/>
                <w:bdr w:val="nil"/>
                <w:rtl w:val="0"/>
              </w:rPr>
              <w:t>All</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of these rights limit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3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choices.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private citizens and corporations.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Keralyn creates a Web site to post threatening messages about celebrities. The First Amendment protects such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all of the time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 of the time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if it is noncommercial</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only if it is symbolic</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Lake City enacts an ordinance that bans the distribution of all printed materials on city streets. Mackensie opposes the city’s latest “revenue-enhancing” measure and wants to protest by distributing handbills. In her suit against Lake City, a court would likely hold the ban on printed materials to be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3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constitutional under the First Amendment.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not subject to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unconstitutional under the commerce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unconstitutional under the First Amendment.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Mary creates a t-shirt design that expresses her support for a presidential candidate and distributes t-shirts imprinted with the design to her friends. The t-shirts represent</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unprotected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controlled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symbolic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illegal speech</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Sustainable Crops Corporation regularly expresses opinions on political issues, including whether to ban the use of genetically modified organisms (GMOs). Under the First Amendment, corporate political speech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1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discouraged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forbidden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protected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required</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Taco Hot Dogs, Inc., regularly advertises its products. Under the First Amendment, in comparison with noncommercial speech, the protection given these ads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equally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non-existent.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Under the First Amendment, in comparison with commercial speech, the protection given obscene speech is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equally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less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more extensive.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non-existent.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Marie claims that a Nebraska state statute infringes on her “procedural due process” rights. This claim focuses 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4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procedures used in making decisions to take life, liberty, or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of the statute.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similarity of the treatment of similarly situated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steps to be taken to protect Marie’s privacy.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Orin claims that a Pennsylvania state statute infringes on his “substantive due process” rights. This claim focuses on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procedures used to make decisions to take life, liberty, or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content of the statute.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similarity of the treatment of similarly situated individuals.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the steps to be taken to protect Orin’s privacy.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A Metro City ordinance imposes a jail term, without a trial, on all vendors who operate in certain areas. A court would likely review this ordinance under the principles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speech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Bay Town enacts an ordinance to allow only a few recreational boating outfits to operate in certain areas of its harbor, for the purpose of reducing traffic. A court would likely review this ordinance under the principles of</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exercise.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free speech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Jon, a law enforcement official, monitors Kelsey’s Internet activities—e-mail and Web site visits—to gain access to her personal financial data and student information. This may violate Kelsey’s right to</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equal protection.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privacy.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r>
                    <w:rPr>
                      <w:rStyle w:val="DefaultParagraphFont"/>
                      <w:rFonts w:ascii="Times New Roman" w:eastAsia="Times New Roman" w:hAnsi="Times New Roman" w:cs="Times New Roman"/>
                      <w:b w:val="0"/>
                      <w:bCs w:val="0"/>
                      <w:i w:val="0"/>
                      <w:iCs w:val="0"/>
                      <w:smallCaps w:val="0"/>
                      <w:color w:val="000000"/>
                      <w:sz w:val="22"/>
                      <w:szCs w:val="22"/>
                      <w:bdr w:val="nil"/>
                      <w:rtl w:val="0"/>
                    </w:rPr>
                    <w:t>engage in interstate commerce.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026"/>
              <w:gridCol w:w="1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dispute between Digital Hardware Corporation and Software Engineering Associates, Inc., the court applies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What is this doctrine?  What does this doctrine have to do with the American legal system?</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a common law legal system, past judicial decisions are binding in current disputes with similar facts.  This feature of the common law, which is the basis of the American legal system, is unique because, unlike the law in other legal systems, it is judge made law.  Within the common law system, when possible, judges attempt to be consistent and to base their decisions on the principles suggested by earlier cases.  The body of principles and doctrines that form the common law emerged over time as judges applied the principles announced in earlier cases to subsequent legal controversies. The practice of deciding cases with reference to former decisions, or precedents—the cornerstone of the American legal system—is called the doctrine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Under this doctrine, judges are obligated to follow the precedents established within their jurisdictions.  This helps courts to be more efficient, and makes the law more stable and predictable.</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Jim operates Jim’s Fruits &amp; Vegetables, a small market stocked entirely with produce grown on his adjacent farm. Under what clause of the Constitution can the federal government regulate Jim’s activities? What is Jim’s best argument against federal regulation of his farm and business?</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916"/>
              <w:gridCol w:w="77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 the commerce clause, at least in theory, Congress has the power to regulate any activity—interstate or intrastate—that affects interstate commerce. Thus, under that clause, it could be argued that the farmer’s growing and selling of produce is subject to federal regulation because these activities affect interstate commerce.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farmer-vendor’s best argument against federal regulation of his farm and business in this problem might be that in his case these activities and their effects are purely local. But because of the economic character of these activities, and hence their effect on interstate commerce, however minimal and despite their local character, it is unlikely that a court would accept this argument.</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1 - Legal and Constitutional Foundations of Business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Testing,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 Legal and Constitutional Foundations of Business</dc:title>
  <dc:creator>Lina Cole</dc:creator>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structor ID">
    <vt:lpwstr>GE2TONZYG44TAMRW</vt:lpwstr>
  </property>
</Properties>
</file>