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56E" w:rsidRDefault="00927C2A">
      <w:pPr>
        <w:spacing w:after="482" w:line="259" w:lineRule="auto"/>
        <w:ind w:left="1129" w:firstLine="0"/>
        <w:jc w:val="center"/>
      </w:pPr>
      <w:bookmarkStart w:id="0" w:name="_GoBack"/>
      <w:bookmarkEnd w:id="0"/>
      <w:r>
        <w:rPr>
          <w:rFonts w:ascii="Calibri" w:eastAsia="Calibri" w:hAnsi="Calibri" w:cs="Calibri"/>
        </w:rPr>
        <w:t xml:space="preserve"> </w:t>
      </w:r>
    </w:p>
    <w:p w:rsidR="00D0456E" w:rsidRDefault="00927C2A">
      <w:pPr>
        <w:spacing w:after="0" w:line="259" w:lineRule="auto"/>
        <w:ind w:left="1080" w:firstLine="0"/>
        <w:jc w:val="left"/>
      </w:pPr>
      <w:r>
        <w:rPr>
          <w:i/>
          <w:sz w:val="28"/>
        </w:rPr>
        <w:t xml:space="preserve">SWFT 2018 Corporations, Partnerships, Estates and Trusts  </w:t>
      </w:r>
    </w:p>
    <w:p w:rsidR="00D0456E" w:rsidRDefault="00927C2A">
      <w:pPr>
        <w:spacing w:after="0" w:line="259" w:lineRule="auto"/>
        <w:ind w:left="1075"/>
        <w:jc w:val="left"/>
      </w:pPr>
      <w:r>
        <w:rPr>
          <w:sz w:val="28"/>
        </w:rPr>
        <w:t xml:space="preserve">Chapter 8: Consolidated Tax Returns </w:t>
      </w:r>
    </w:p>
    <w:p w:rsidR="00D0456E" w:rsidRDefault="00927C2A">
      <w:pPr>
        <w:spacing w:after="0" w:line="259" w:lineRule="auto"/>
        <w:ind w:left="1075"/>
        <w:jc w:val="left"/>
      </w:pPr>
      <w:r>
        <w:rPr>
          <w:sz w:val="28"/>
        </w:rPr>
        <w:t>End-of-Chapter Question, Exercise, and Problem Correlations</w:t>
      </w:r>
      <w:r>
        <w:t xml:space="preserve"> </w:t>
      </w:r>
    </w:p>
    <w:p w:rsidR="00D0456E" w:rsidRDefault="00927C2A">
      <w:pPr>
        <w:spacing w:after="0" w:line="259" w:lineRule="auto"/>
        <w:ind w:left="1080" w:firstLine="0"/>
        <w:jc w:val="left"/>
      </w:pPr>
      <w:r>
        <w:rPr>
          <w:sz w:val="28"/>
        </w:rPr>
        <w:t xml:space="preserve"> </w:t>
      </w:r>
    </w:p>
    <w:tbl>
      <w:tblPr>
        <w:tblStyle w:val="TableGrid"/>
        <w:tblW w:w="9718" w:type="dxa"/>
        <w:tblInd w:w="1081" w:type="dxa"/>
        <w:tblCellMar>
          <w:top w:w="84" w:type="dxa"/>
          <w:left w:w="107" w:type="dxa"/>
          <w:bottom w:w="0" w:type="dxa"/>
          <w:right w:w="102" w:type="dxa"/>
        </w:tblCellMar>
        <w:tblLook w:val="04A0" w:firstRow="1" w:lastRow="0" w:firstColumn="1" w:lastColumn="0" w:noHBand="0" w:noVBand="1"/>
      </w:tblPr>
      <w:tblGrid>
        <w:gridCol w:w="1793"/>
        <w:gridCol w:w="1850"/>
        <w:gridCol w:w="2381"/>
        <w:gridCol w:w="1350"/>
        <w:gridCol w:w="1170"/>
        <w:gridCol w:w="1174"/>
      </w:tblGrid>
      <w:tr w:rsidR="00D0456E">
        <w:trPr>
          <w:trHeight w:val="1043"/>
        </w:trPr>
        <w:tc>
          <w:tcPr>
            <w:tcW w:w="1793" w:type="dxa"/>
            <w:tcBorders>
              <w:top w:val="single" w:sz="4" w:space="0" w:color="000000"/>
              <w:left w:val="single" w:sz="4" w:space="0" w:color="000000"/>
              <w:bottom w:val="single" w:sz="4" w:space="0" w:color="000000"/>
              <w:right w:val="single" w:sz="4" w:space="0" w:color="000000"/>
            </w:tcBorders>
            <w:shd w:val="clear" w:color="auto" w:fill="F2F2F2"/>
          </w:tcPr>
          <w:p w:rsidR="00D0456E" w:rsidRDefault="00927C2A">
            <w:pPr>
              <w:spacing w:after="0" w:line="259" w:lineRule="auto"/>
              <w:ind w:left="0" w:firstLine="0"/>
              <w:jc w:val="left"/>
            </w:pPr>
            <w:r>
              <w:rPr>
                <w:b/>
                <w:sz w:val="20"/>
              </w:rPr>
              <w:t xml:space="preserve">Corporations, </w:t>
            </w:r>
          </w:p>
          <w:p w:rsidR="00D0456E" w:rsidRDefault="00927C2A">
            <w:pPr>
              <w:spacing w:after="0" w:line="259" w:lineRule="auto"/>
              <w:ind w:left="0" w:firstLine="0"/>
              <w:jc w:val="left"/>
            </w:pPr>
            <w:r>
              <w:rPr>
                <w:b/>
                <w:sz w:val="20"/>
              </w:rPr>
              <w:t xml:space="preserve">Partnerships, </w:t>
            </w:r>
          </w:p>
          <w:p w:rsidR="00D0456E" w:rsidRDefault="00927C2A">
            <w:pPr>
              <w:spacing w:after="0" w:line="259" w:lineRule="auto"/>
              <w:ind w:left="0" w:firstLine="0"/>
              <w:jc w:val="left"/>
            </w:pPr>
            <w:r>
              <w:rPr>
                <w:b/>
                <w:sz w:val="20"/>
              </w:rPr>
              <w:t xml:space="preserve">Estates and </w:t>
            </w:r>
          </w:p>
          <w:p w:rsidR="00D0456E" w:rsidRDefault="00927C2A">
            <w:pPr>
              <w:spacing w:after="0" w:line="259" w:lineRule="auto"/>
              <w:ind w:left="0" w:firstLine="0"/>
              <w:jc w:val="left"/>
            </w:pPr>
            <w:r>
              <w:rPr>
                <w:b/>
                <w:sz w:val="20"/>
              </w:rPr>
              <w:t xml:space="preserve">Trusts 40e (2017) </w:t>
            </w:r>
          </w:p>
        </w:tc>
        <w:tc>
          <w:tcPr>
            <w:tcW w:w="1850" w:type="dxa"/>
            <w:tcBorders>
              <w:top w:val="single" w:sz="4" w:space="0" w:color="000000"/>
              <w:left w:val="single" w:sz="4" w:space="0" w:color="000000"/>
              <w:bottom w:val="single" w:sz="4" w:space="0" w:color="000000"/>
              <w:right w:val="single" w:sz="4" w:space="0" w:color="000000"/>
            </w:tcBorders>
            <w:shd w:val="clear" w:color="auto" w:fill="F2F2F2"/>
          </w:tcPr>
          <w:p w:rsidR="00D0456E" w:rsidRDefault="00927C2A">
            <w:pPr>
              <w:spacing w:after="0" w:line="259" w:lineRule="auto"/>
              <w:ind w:left="1" w:firstLine="0"/>
              <w:jc w:val="left"/>
            </w:pPr>
            <w:r>
              <w:rPr>
                <w:b/>
                <w:sz w:val="20"/>
              </w:rPr>
              <w:t xml:space="preserve">Corporations, </w:t>
            </w:r>
          </w:p>
          <w:p w:rsidR="00D0456E" w:rsidRDefault="00927C2A">
            <w:pPr>
              <w:spacing w:after="0" w:line="259" w:lineRule="auto"/>
              <w:ind w:left="1" w:firstLine="0"/>
              <w:jc w:val="left"/>
            </w:pPr>
            <w:r>
              <w:rPr>
                <w:b/>
                <w:sz w:val="20"/>
              </w:rPr>
              <w:t xml:space="preserve">Partnerships, </w:t>
            </w:r>
          </w:p>
          <w:p w:rsidR="00D0456E" w:rsidRDefault="00927C2A">
            <w:pPr>
              <w:spacing w:after="0" w:line="259" w:lineRule="auto"/>
              <w:ind w:left="1" w:firstLine="0"/>
              <w:jc w:val="left"/>
            </w:pPr>
            <w:r>
              <w:rPr>
                <w:b/>
                <w:sz w:val="20"/>
              </w:rPr>
              <w:t xml:space="preserve">Estates and Trusts </w:t>
            </w:r>
          </w:p>
          <w:p w:rsidR="00D0456E" w:rsidRDefault="00927C2A">
            <w:pPr>
              <w:spacing w:after="0" w:line="259" w:lineRule="auto"/>
              <w:ind w:left="1" w:firstLine="0"/>
              <w:jc w:val="left"/>
            </w:pPr>
            <w:r>
              <w:rPr>
                <w:b/>
                <w:sz w:val="20"/>
              </w:rPr>
              <w:t xml:space="preserve">41e (2018) </w:t>
            </w:r>
          </w:p>
        </w:tc>
        <w:tc>
          <w:tcPr>
            <w:tcW w:w="2381" w:type="dxa"/>
            <w:tcBorders>
              <w:top w:val="single" w:sz="4" w:space="0" w:color="000000"/>
              <w:left w:val="single" w:sz="4" w:space="0" w:color="000000"/>
              <w:bottom w:val="single" w:sz="4" w:space="0" w:color="000000"/>
              <w:right w:val="single" w:sz="4" w:space="0" w:color="000000"/>
            </w:tcBorders>
            <w:shd w:val="clear" w:color="auto" w:fill="F2F2F2"/>
          </w:tcPr>
          <w:p w:rsidR="00D0456E" w:rsidRDefault="00927C2A">
            <w:pPr>
              <w:spacing w:after="0" w:line="259" w:lineRule="auto"/>
              <w:ind w:left="2" w:firstLine="0"/>
              <w:jc w:val="left"/>
            </w:pPr>
            <w:r>
              <w:rPr>
                <w:b/>
                <w:sz w:val="20"/>
              </w:rPr>
              <w:t xml:space="preserve">Corporations, Partnerships, Estates and Trusts 41e (2018) Learning Objectives </w:t>
            </w:r>
          </w:p>
        </w:tc>
        <w:tc>
          <w:tcPr>
            <w:tcW w:w="135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D0456E" w:rsidRDefault="00927C2A">
            <w:pPr>
              <w:spacing w:after="0" w:line="259" w:lineRule="auto"/>
              <w:ind w:left="1" w:firstLine="0"/>
              <w:jc w:val="left"/>
            </w:pPr>
            <w:r>
              <w:rPr>
                <w:b/>
                <w:sz w:val="20"/>
              </w:rPr>
              <w:t xml:space="preserve">Exact Same </w:t>
            </w:r>
          </w:p>
        </w:tc>
        <w:tc>
          <w:tcPr>
            <w:tcW w:w="117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D0456E" w:rsidRDefault="00927C2A">
            <w:pPr>
              <w:spacing w:after="0" w:line="259" w:lineRule="auto"/>
              <w:ind w:left="1" w:firstLine="0"/>
              <w:jc w:val="left"/>
            </w:pPr>
            <w:r>
              <w:rPr>
                <w:b/>
                <w:sz w:val="20"/>
              </w:rPr>
              <w:t xml:space="preserve">Revised </w:t>
            </w:r>
          </w:p>
        </w:tc>
        <w:tc>
          <w:tcPr>
            <w:tcW w:w="117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D0456E" w:rsidRDefault="00927C2A">
            <w:pPr>
              <w:spacing w:after="0" w:line="259" w:lineRule="auto"/>
              <w:ind w:left="1" w:firstLine="0"/>
              <w:jc w:val="left"/>
            </w:pPr>
            <w:r>
              <w:rPr>
                <w:b/>
                <w:sz w:val="20"/>
              </w:rPr>
              <w:t xml:space="preserve">Brand </w:t>
            </w:r>
          </w:p>
          <w:p w:rsidR="00D0456E" w:rsidRDefault="00927C2A">
            <w:pPr>
              <w:spacing w:after="0" w:line="259" w:lineRule="auto"/>
              <w:ind w:left="1" w:firstLine="0"/>
              <w:jc w:val="left"/>
            </w:pPr>
            <w:r>
              <w:rPr>
                <w:b/>
                <w:sz w:val="20"/>
              </w:rPr>
              <w:t xml:space="preserve">New </w:t>
            </w:r>
          </w:p>
        </w:tc>
      </w:tr>
      <w:tr w:rsidR="00D0456E">
        <w:trPr>
          <w:trHeight w:val="309"/>
        </w:trPr>
        <w:tc>
          <w:tcPr>
            <w:tcW w:w="3643" w:type="dxa"/>
            <w:gridSpan w:val="2"/>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0" w:firstLine="0"/>
              <w:jc w:val="left"/>
            </w:pPr>
            <w:r>
              <w:rPr>
                <w:b/>
                <w:sz w:val="20"/>
              </w:rPr>
              <w:t xml:space="preserve">Discussion Questions (DQ) </w:t>
            </w:r>
          </w:p>
        </w:tc>
        <w:tc>
          <w:tcPr>
            <w:tcW w:w="2381" w:type="dxa"/>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2" w:firstLine="0"/>
              <w:jc w:val="left"/>
            </w:pPr>
            <w:r>
              <w:rPr>
                <w:b/>
                <w:sz w:val="20"/>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1" w:firstLine="0"/>
              <w:jc w:val="left"/>
            </w:pPr>
            <w:r>
              <w:rPr>
                <w:b/>
                <w:sz w:val="20"/>
              </w:rPr>
              <w:t xml:space="preserve">  </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1"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1" w:firstLine="0"/>
              <w:jc w:val="left"/>
            </w:pPr>
            <w:r>
              <w:rPr>
                <w:b/>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DQ1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DQ1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LO1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DQ2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DQ2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LO1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DQ3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DQ3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LO2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DQ4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DQ4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LO2,3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DQ5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DQ5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LO3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D0456E">
            <w:pPr>
              <w:spacing w:after="160" w:line="259" w:lineRule="auto"/>
              <w:ind w:left="0" w:firstLine="0"/>
              <w:jc w:val="left"/>
            </w:pP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DQ6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DQ6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LO3,4,5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DQ7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DQ7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LO3,10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DQ8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DQ8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LO3,10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DQ9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DQ9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LO3,9,10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DQ10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DQ10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LO3,5,10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D0456E">
            <w:pPr>
              <w:spacing w:after="160" w:line="259" w:lineRule="auto"/>
              <w:ind w:left="0" w:firstLine="0"/>
              <w:jc w:val="left"/>
            </w:pP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DQ11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DQ11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LO4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DQ12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DQ12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LO5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DQ13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DQ13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LO5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DQ14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DQ14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LO6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D0456E">
            <w:pPr>
              <w:spacing w:after="160" w:line="259" w:lineRule="auto"/>
              <w:ind w:left="0" w:firstLine="0"/>
              <w:jc w:val="left"/>
            </w:pP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DQ15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DQ15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LO6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DQ16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DQ16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LO6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D0456E">
            <w:pPr>
              <w:spacing w:after="160" w:line="259" w:lineRule="auto"/>
              <w:ind w:left="0" w:firstLine="0"/>
              <w:jc w:val="left"/>
            </w:pP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DQ17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DQ17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LO6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DQ18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DQ18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LO8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DQ19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DQ19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LO8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D0456E">
            <w:pPr>
              <w:spacing w:after="160" w:line="259" w:lineRule="auto"/>
              <w:ind w:left="0" w:firstLine="0"/>
              <w:jc w:val="left"/>
            </w:pP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DQ20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DQ20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LO9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DQ21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DQ21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LO9,10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D0456E">
            <w:pPr>
              <w:spacing w:after="160" w:line="259" w:lineRule="auto"/>
              <w:ind w:left="0" w:firstLine="0"/>
              <w:jc w:val="left"/>
            </w:pP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DQ22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DQ22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LO9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DQ23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DQ23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LO9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r>
      <w:tr w:rsidR="00D0456E">
        <w:trPr>
          <w:trHeight w:val="308"/>
        </w:trPr>
        <w:tc>
          <w:tcPr>
            <w:tcW w:w="3643" w:type="dxa"/>
            <w:gridSpan w:val="2"/>
            <w:tcBorders>
              <w:top w:val="single" w:sz="4" w:space="0" w:color="000000"/>
              <w:left w:val="single" w:sz="4" w:space="0" w:color="000000"/>
              <w:bottom w:val="single" w:sz="4" w:space="0" w:color="000000"/>
              <w:right w:val="nil"/>
            </w:tcBorders>
            <w:shd w:val="clear" w:color="auto" w:fill="D9D9D9"/>
          </w:tcPr>
          <w:p w:rsidR="00D0456E" w:rsidRDefault="00927C2A">
            <w:pPr>
              <w:spacing w:after="0" w:line="259" w:lineRule="auto"/>
              <w:ind w:left="0" w:firstLine="0"/>
              <w:jc w:val="left"/>
            </w:pPr>
            <w:r>
              <w:rPr>
                <w:b/>
                <w:sz w:val="20"/>
              </w:rPr>
              <w:lastRenderedPageBreak/>
              <w:t xml:space="preserve">Computational Exercises (EX) </w:t>
            </w:r>
          </w:p>
        </w:tc>
        <w:tc>
          <w:tcPr>
            <w:tcW w:w="2381" w:type="dxa"/>
            <w:tcBorders>
              <w:top w:val="single" w:sz="4" w:space="0" w:color="000000"/>
              <w:left w:val="nil"/>
              <w:bottom w:val="single" w:sz="4" w:space="0" w:color="000000"/>
              <w:right w:val="single" w:sz="4" w:space="0" w:color="000000"/>
            </w:tcBorders>
            <w:shd w:val="clear" w:color="auto" w:fill="D9D9D9"/>
          </w:tcPr>
          <w:p w:rsidR="00D0456E" w:rsidRDefault="00D0456E">
            <w:pPr>
              <w:spacing w:after="160" w:line="259" w:lineRule="auto"/>
              <w:ind w:left="0" w:firstLine="0"/>
              <w:jc w:val="left"/>
            </w:pPr>
          </w:p>
        </w:tc>
        <w:tc>
          <w:tcPr>
            <w:tcW w:w="1350" w:type="dxa"/>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1" w:firstLine="0"/>
              <w:jc w:val="left"/>
            </w:pPr>
            <w:r>
              <w:rPr>
                <w:b/>
                <w:sz w:val="20"/>
              </w:rPr>
              <w:t xml:space="preserve">  </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1"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1" w:firstLine="0"/>
              <w:jc w:val="left"/>
            </w:pPr>
            <w:r>
              <w:rPr>
                <w:b/>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EX24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EX24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LO5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EX25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EX25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LO6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D0456E">
            <w:pPr>
              <w:spacing w:after="160" w:line="259" w:lineRule="auto"/>
              <w:ind w:left="0" w:firstLine="0"/>
              <w:jc w:val="left"/>
            </w:pP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EX26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EX26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LO8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EX27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EX27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LO8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EX28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EX28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LO9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r>
      <w:tr w:rsidR="00D0456E">
        <w:trPr>
          <w:trHeight w:val="308"/>
        </w:trPr>
        <w:tc>
          <w:tcPr>
            <w:tcW w:w="3643" w:type="dxa"/>
            <w:gridSpan w:val="2"/>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0" w:firstLine="0"/>
              <w:jc w:val="left"/>
            </w:pPr>
            <w:r>
              <w:rPr>
                <w:b/>
                <w:sz w:val="20"/>
              </w:rPr>
              <w:t xml:space="preserve">Problems (PR) </w:t>
            </w:r>
          </w:p>
        </w:tc>
        <w:tc>
          <w:tcPr>
            <w:tcW w:w="2381" w:type="dxa"/>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2" w:firstLine="0"/>
              <w:jc w:val="left"/>
            </w:pPr>
            <w:r>
              <w:rPr>
                <w:b/>
                <w:sz w:val="20"/>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1" w:firstLine="0"/>
              <w:jc w:val="left"/>
            </w:pPr>
            <w:r>
              <w:rPr>
                <w:b/>
                <w:sz w:val="20"/>
              </w:rPr>
              <w:t xml:space="preserve">  </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1"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1" w:firstLine="0"/>
              <w:jc w:val="left"/>
            </w:pPr>
            <w:r>
              <w:rPr>
                <w:b/>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PR29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PR29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LO3,7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PR30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PR30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LO3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D0456E">
            <w:pPr>
              <w:spacing w:after="160" w:line="259" w:lineRule="auto"/>
              <w:ind w:left="0" w:firstLine="0"/>
              <w:jc w:val="left"/>
            </w:pP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PR31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PR31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LO5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D0456E">
            <w:pPr>
              <w:spacing w:after="160" w:line="259" w:lineRule="auto"/>
              <w:ind w:left="0" w:firstLine="0"/>
              <w:jc w:val="left"/>
            </w:pP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bl>
    <w:p w:rsidR="00D0456E" w:rsidRDefault="00927C2A">
      <w:pPr>
        <w:pStyle w:val="Heading1"/>
        <w:spacing w:after="0"/>
        <w:ind w:left="1088"/>
        <w:jc w:val="center"/>
      </w:pPr>
      <w:r>
        <w:t xml:space="preserve">EOC 8-1 </w:t>
      </w:r>
    </w:p>
    <w:p w:rsidR="00D0456E" w:rsidRDefault="00927C2A">
      <w:pPr>
        <w:spacing w:after="0" w:line="259" w:lineRule="auto"/>
        <w:ind w:left="0" w:right="534" w:firstLine="0"/>
        <w:jc w:val="right"/>
      </w:pPr>
      <w:r>
        <w:rPr>
          <w:rFonts w:ascii="Calibri" w:eastAsia="Calibri" w:hAnsi="Calibri" w:cs="Calibri"/>
        </w:rPr>
        <w:t xml:space="preserve"> </w:t>
      </w:r>
    </w:p>
    <w:p w:rsidR="00D0456E" w:rsidRDefault="00927C2A">
      <w:pPr>
        <w:spacing w:after="163" w:line="259" w:lineRule="auto"/>
        <w:ind w:left="683" w:right="1724" w:firstLine="0"/>
        <w:jc w:val="center"/>
      </w:pPr>
      <w:r>
        <w:rPr>
          <w:sz w:val="16"/>
        </w:rPr>
        <w:t xml:space="preserve">South-Western Federal Taxation 2018 Edition Series End-of-Chapter Question, Exercise, and Problem Correlations: </w:t>
      </w:r>
      <w:r>
        <w:rPr>
          <w:i/>
          <w:sz w:val="16"/>
        </w:rPr>
        <w:t xml:space="preserve">Corporations, Partnerships, Estates and Trusts (Volume 2) </w:t>
      </w:r>
    </w:p>
    <w:tbl>
      <w:tblPr>
        <w:tblStyle w:val="TableGrid"/>
        <w:tblW w:w="9718" w:type="dxa"/>
        <w:tblInd w:w="1" w:type="dxa"/>
        <w:tblCellMar>
          <w:top w:w="66" w:type="dxa"/>
          <w:left w:w="107" w:type="dxa"/>
          <w:bottom w:w="0" w:type="dxa"/>
          <w:right w:w="102" w:type="dxa"/>
        </w:tblCellMar>
        <w:tblLook w:val="04A0" w:firstRow="1" w:lastRow="0" w:firstColumn="1" w:lastColumn="0" w:noHBand="0" w:noVBand="1"/>
      </w:tblPr>
      <w:tblGrid>
        <w:gridCol w:w="1793"/>
        <w:gridCol w:w="1850"/>
        <w:gridCol w:w="2381"/>
        <w:gridCol w:w="1350"/>
        <w:gridCol w:w="1170"/>
        <w:gridCol w:w="1174"/>
      </w:tblGrid>
      <w:tr w:rsidR="00D0456E">
        <w:trPr>
          <w:trHeight w:val="1042"/>
        </w:trPr>
        <w:tc>
          <w:tcPr>
            <w:tcW w:w="1793" w:type="dxa"/>
            <w:tcBorders>
              <w:top w:val="single" w:sz="4" w:space="0" w:color="000000"/>
              <w:left w:val="single" w:sz="4" w:space="0" w:color="000000"/>
              <w:bottom w:val="single" w:sz="4" w:space="0" w:color="000000"/>
              <w:right w:val="single" w:sz="4" w:space="0" w:color="000000"/>
            </w:tcBorders>
            <w:shd w:val="clear" w:color="auto" w:fill="F2F2F2"/>
          </w:tcPr>
          <w:p w:rsidR="00D0456E" w:rsidRDefault="00927C2A">
            <w:pPr>
              <w:spacing w:after="0" w:line="259" w:lineRule="auto"/>
              <w:ind w:left="0" w:firstLine="0"/>
              <w:jc w:val="left"/>
            </w:pPr>
            <w:r>
              <w:rPr>
                <w:b/>
                <w:sz w:val="20"/>
              </w:rPr>
              <w:t xml:space="preserve">Corporations, </w:t>
            </w:r>
          </w:p>
          <w:p w:rsidR="00D0456E" w:rsidRDefault="00927C2A">
            <w:pPr>
              <w:spacing w:after="0" w:line="259" w:lineRule="auto"/>
              <w:ind w:left="0" w:firstLine="0"/>
              <w:jc w:val="left"/>
            </w:pPr>
            <w:r>
              <w:rPr>
                <w:b/>
                <w:sz w:val="20"/>
              </w:rPr>
              <w:t xml:space="preserve">Partnerships, </w:t>
            </w:r>
          </w:p>
          <w:p w:rsidR="00D0456E" w:rsidRDefault="00927C2A">
            <w:pPr>
              <w:spacing w:after="0" w:line="259" w:lineRule="auto"/>
              <w:ind w:left="0" w:firstLine="0"/>
              <w:jc w:val="left"/>
            </w:pPr>
            <w:r>
              <w:rPr>
                <w:b/>
                <w:sz w:val="20"/>
              </w:rPr>
              <w:t xml:space="preserve">Estates and </w:t>
            </w:r>
          </w:p>
          <w:p w:rsidR="00D0456E" w:rsidRDefault="00927C2A">
            <w:pPr>
              <w:spacing w:after="0" w:line="259" w:lineRule="auto"/>
              <w:ind w:left="0" w:firstLine="0"/>
              <w:jc w:val="left"/>
            </w:pPr>
            <w:r>
              <w:rPr>
                <w:b/>
                <w:sz w:val="20"/>
              </w:rPr>
              <w:t xml:space="preserve">Trusts 40e (2017) </w:t>
            </w:r>
          </w:p>
        </w:tc>
        <w:tc>
          <w:tcPr>
            <w:tcW w:w="1850" w:type="dxa"/>
            <w:tcBorders>
              <w:top w:val="single" w:sz="4" w:space="0" w:color="000000"/>
              <w:left w:val="single" w:sz="4" w:space="0" w:color="000000"/>
              <w:bottom w:val="single" w:sz="4" w:space="0" w:color="000000"/>
              <w:right w:val="single" w:sz="4" w:space="0" w:color="000000"/>
            </w:tcBorders>
            <w:shd w:val="clear" w:color="auto" w:fill="F2F2F2"/>
          </w:tcPr>
          <w:p w:rsidR="00D0456E" w:rsidRDefault="00927C2A">
            <w:pPr>
              <w:spacing w:after="0" w:line="259" w:lineRule="auto"/>
              <w:ind w:left="1" w:firstLine="0"/>
              <w:jc w:val="left"/>
            </w:pPr>
            <w:r>
              <w:rPr>
                <w:b/>
                <w:sz w:val="20"/>
              </w:rPr>
              <w:t xml:space="preserve">Corporations, </w:t>
            </w:r>
          </w:p>
          <w:p w:rsidR="00D0456E" w:rsidRDefault="00927C2A">
            <w:pPr>
              <w:spacing w:after="0" w:line="259" w:lineRule="auto"/>
              <w:ind w:left="1" w:firstLine="0"/>
              <w:jc w:val="left"/>
            </w:pPr>
            <w:r>
              <w:rPr>
                <w:b/>
                <w:sz w:val="20"/>
              </w:rPr>
              <w:t xml:space="preserve">Partnerships, </w:t>
            </w:r>
          </w:p>
          <w:p w:rsidR="00D0456E" w:rsidRDefault="00927C2A">
            <w:pPr>
              <w:spacing w:after="0" w:line="259" w:lineRule="auto"/>
              <w:ind w:left="1" w:firstLine="0"/>
              <w:jc w:val="left"/>
            </w:pPr>
            <w:r>
              <w:rPr>
                <w:b/>
                <w:sz w:val="20"/>
              </w:rPr>
              <w:t xml:space="preserve">Estates and Trusts </w:t>
            </w:r>
          </w:p>
          <w:p w:rsidR="00D0456E" w:rsidRDefault="00927C2A">
            <w:pPr>
              <w:spacing w:after="0" w:line="259" w:lineRule="auto"/>
              <w:ind w:left="1" w:firstLine="0"/>
              <w:jc w:val="left"/>
            </w:pPr>
            <w:r>
              <w:rPr>
                <w:b/>
                <w:sz w:val="20"/>
              </w:rPr>
              <w:t xml:space="preserve">41e (2018) </w:t>
            </w:r>
          </w:p>
        </w:tc>
        <w:tc>
          <w:tcPr>
            <w:tcW w:w="2381" w:type="dxa"/>
            <w:tcBorders>
              <w:top w:val="single" w:sz="4" w:space="0" w:color="000000"/>
              <w:left w:val="single" w:sz="4" w:space="0" w:color="000000"/>
              <w:bottom w:val="single" w:sz="4" w:space="0" w:color="000000"/>
              <w:right w:val="single" w:sz="4" w:space="0" w:color="000000"/>
            </w:tcBorders>
            <w:shd w:val="clear" w:color="auto" w:fill="F2F2F2"/>
          </w:tcPr>
          <w:p w:rsidR="00D0456E" w:rsidRDefault="00927C2A">
            <w:pPr>
              <w:spacing w:after="0" w:line="259" w:lineRule="auto"/>
              <w:ind w:left="2" w:firstLine="0"/>
              <w:jc w:val="left"/>
            </w:pPr>
            <w:r>
              <w:rPr>
                <w:b/>
                <w:sz w:val="20"/>
              </w:rPr>
              <w:t xml:space="preserve">Corporations, Partnerships, Estates and Trusts 41e (2018) Learning Objectives </w:t>
            </w:r>
          </w:p>
        </w:tc>
        <w:tc>
          <w:tcPr>
            <w:tcW w:w="135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D0456E" w:rsidRDefault="00927C2A">
            <w:pPr>
              <w:spacing w:after="0" w:line="259" w:lineRule="auto"/>
              <w:ind w:left="1" w:firstLine="0"/>
              <w:jc w:val="left"/>
            </w:pPr>
            <w:r>
              <w:rPr>
                <w:b/>
                <w:sz w:val="20"/>
              </w:rPr>
              <w:t xml:space="preserve">Exact Same </w:t>
            </w:r>
          </w:p>
        </w:tc>
        <w:tc>
          <w:tcPr>
            <w:tcW w:w="117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D0456E" w:rsidRDefault="00927C2A">
            <w:pPr>
              <w:spacing w:after="0" w:line="259" w:lineRule="auto"/>
              <w:ind w:left="1" w:firstLine="0"/>
              <w:jc w:val="left"/>
            </w:pPr>
            <w:r>
              <w:rPr>
                <w:b/>
                <w:sz w:val="20"/>
              </w:rPr>
              <w:t xml:space="preserve">Revised </w:t>
            </w:r>
          </w:p>
        </w:tc>
        <w:tc>
          <w:tcPr>
            <w:tcW w:w="117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D0456E" w:rsidRDefault="00927C2A">
            <w:pPr>
              <w:spacing w:after="0" w:line="259" w:lineRule="auto"/>
              <w:ind w:left="1" w:firstLine="0"/>
              <w:jc w:val="left"/>
            </w:pPr>
            <w:r>
              <w:rPr>
                <w:b/>
                <w:sz w:val="20"/>
              </w:rPr>
              <w:t xml:space="preserve">Brand </w:t>
            </w:r>
          </w:p>
          <w:p w:rsidR="00D0456E" w:rsidRDefault="00927C2A">
            <w:pPr>
              <w:spacing w:after="0" w:line="259" w:lineRule="auto"/>
              <w:ind w:left="1" w:firstLine="0"/>
              <w:jc w:val="left"/>
            </w:pPr>
            <w:r>
              <w:rPr>
                <w:b/>
                <w:sz w:val="20"/>
              </w:rPr>
              <w:t xml:space="preserve">New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PR32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PR32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LO5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PR33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PR33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LO5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PR34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PR34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LO5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PR35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PR35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LO6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PR36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PR36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LO6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PR37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PR37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LO6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PR38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PR38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LO7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D0456E">
            <w:pPr>
              <w:spacing w:after="160" w:line="259" w:lineRule="auto"/>
              <w:ind w:left="0" w:firstLine="0"/>
              <w:jc w:val="left"/>
            </w:pP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PR39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PR39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LO7,8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D0456E">
            <w:pPr>
              <w:spacing w:after="160" w:line="259" w:lineRule="auto"/>
              <w:ind w:left="0" w:firstLine="0"/>
              <w:jc w:val="left"/>
            </w:pP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PR40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PR40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LO8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PR41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PR41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LO8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PR42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PR42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LO8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PR43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PR43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LO9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D0456E">
            <w:pPr>
              <w:spacing w:after="160" w:line="259" w:lineRule="auto"/>
              <w:ind w:left="0" w:firstLine="0"/>
              <w:jc w:val="left"/>
            </w:pP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  </w:t>
            </w:r>
          </w:p>
        </w:tc>
      </w:tr>
      <w:tr w:rsidR="00D0456E">
        <w:trPr>
          <w:trHeight w:val="307"/>
        </w:trPr>
        <w:tc>
          <w:tcPr>
            <w:tcW w:w="6024" w:type="dxa"/>
            <w:gridSpan w:val="3"/>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0" w:firstLine="0"/>
              <w:jc w:val="left"/>
            </w:pPr>
            <w:r>
              <w:rPr>
                <w:b/>
                <w:sz w:val="20"/>
              </w:rPr>
              <w:t xml:space="preserve">Cumulative (Tax Return) Problems (CP) </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1" w:firstLine="0"/>
              <w:jc w:val="left"/>
            </w:pPr>
            <w:r>
              <w:rPr>
                <w:b/>
                <w:sz w:val="20"/>
              </w:rPr>
              <w:t xml:space="preserve">  </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1"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1" w:firstLine="0"/>
              <w:jc w:val="left"/>
            </w:pPr>
            <w:r>
              <w:rPr>
                <w:b/>
                <w:sz w:val="20"/>
              </w:rPr>
              <w:t xml:space="preserve">  </w:t>
            </w:r>
          </w:p>
        </w:tc>
      </w:tr>
      <w:tr w:rsidR="00D0456E">
        <w:trPr>
          <w:trHeight w:val="273"/>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N/A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  </w:t>
            </w:r>
          </w:p>
        </w:tc>
      </w:tr>
      <w:tr w:rsidR="00D0456E">
        <w:trPr>
          <w:trHeight w:val="308"/>
        </w:trPr>
        <w:tc>
          <w:tcPr>
            <w:tcW w:w="3643" w:type="dxa"/>
            <w:gridSpan w:val="2"/>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0" w:firstLine="0"/>
              <w:jc w:val="left"/>
            </w:pPr>
            <w:r>
              <w:rPr>
                <w:b/>
                <w:sz w:val="20"/>
              </w:rPr>
              <w:t xml:space="preserve">Research Problems (RP) </w:t>
            </w:r>
          </w:p>
        </w:tc>
        <w:tc>
          <w:tcPr>
            <w:tcW w:w="2381" w:type="dxa"/>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2" w:firstLine="0"/>
              <w:jc w:val="left"/>
            </w:pPr>
            <w:r>
              <w:rPr>
                <w:b/>
                <w:sz w:val="20"/>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1" w:firstLine="0"/>
              <w:jc w:val="left"/>
            </w:pPr>
            <w:r>
              <w:rPr>
                <w:b/>
                <w:sz w:val="20"/>
              </w:rPr>
              <w:t xml:space="preserve">  </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1"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1" w:firstLine="0"/>
              <w:jc w:val="left"/>
            </w:pPr>
            <w:r>
              <w:rPr>
                <w:b/>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RP1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RP1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D0456E">
            <w:pPr>
              <w:spacing w:after="160" w:line="259" w:lineRule="auto"/>
              <w:ind w:left="0" w:firstLine="0"/>
              <w:jc w:val="left"/>
            </w:pP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RP2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RP2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RP3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RP3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RP4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RP4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RP5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RP5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r w:rsidR="00D0456E">
        <w:trPr>
          <w:trHeight w:val="308"/>
        </w:trPr>
        <w:tc>
          <w:tcPr>
            <w:tcW w:w="6024" w:type="dxa"/>
            <w:gridSpan w:val="3"/>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0" w:firstLine="0"/>
              <w:jc w:val="left"/>
            </w:pPr>
            <w:r>
              <w:rPr>
                <w:b/>
                <w:sz w:val="20"/>
              </w:rPr>
              <w:t xml:space="preserve">Roger CPA Review Questions (RCPA) </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1" w:firstLine="0"/>
              <w:jc w:val="left"/>
            </w:pPr>
            <w:r>
              <w:rPr>
                <w:b/>
                <w:sz w:val="20"/>
              </w:rPr>
              <w:t xml:space="preserve">  </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1"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shd w:val="clear" w:color="auto" w:fill="D9D9D9"/>
          </w:tcPr>
          <w:p w:rsidR="00D0456E" w:rsidRDefault="00927C2A">
            <w:pPr>
              <w:spacing w:after="0" w:line="259" w:lineRule="auto"/>
              <w:ind w:left="1" w:firstLine="0"/>
              <w:jc w:val="left"/>
            </w:pPr>
            <w:r>
              <w:rPr>
                <w:b/>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RCPA1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RCPA1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D0456E">
            <w:pPr>
              <w:spacing w:after="160" w:line="259" w:lineRule="auto"/>
              <w:ind w:left="0" w:firstLine="0"/>
              <w:jc w:val="left"/>
            </w:pP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RCPA2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RCPA2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b/>
                <w:sz w:val="20"/>
              </w:rPr>
              <w:t xml:space="preserve">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RCPA3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RCPA3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D0456E">
            <w:pPr>
              <w:spacing w:after="160" w:line="259" w:lineRule="auto"/>
              <w:ind w:left="0" w:firstLine="0"/>
              <w:jc w:val="left"/>
            </w:pP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r w:rsidR="00D0456E">
        <w:trPr>
          <w:trHeight w:val="310"/>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RCPA4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RCPA4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r w:rsidR="00D0456E">
        <w:trPr>
          <w:trHeight w:val="311"/>
        </w:trPr>
        <w:tc>
          <w:tcPr>
            <w:tcW w:w="1793"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sz w:val="20"/>
              </w:rPr>
              <w:t xml:space="preserve">RCPA5 </w:t>
            </w:r>
          </w:p>
        </w:tc>
        <w:tc>
          <w:tcPr>
            <w:tcW w:w="18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RCPA5 </w:t>
            </w:r>
          </w:p>
        </w:tc>
        <w:tc>
          <w:tcPr>
            <w:tcW w:w="2381"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2" w:firstLine="0"/>
              <w:jc w:val="left"/>
            </w:pPr>
            <w:r>
              <w:rPr>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b/>
                <w:sz w:val="20"/>
              </w:rPr>
              <w:t xml:space="preserve">x  </w:t>
            </w:r>
          </w:p>
        </w:tc>
        <w:tc>
          <w:tcPr>
            <w:tcW w:w="1170" w:type="dxa"/>
            <w:tcBorders>
              <w:top w:val="single" w:sz="4" w:space="0" w:color="000000"/>
              <w:left w:val="single" w:sz="4" w:space="0" w:color="000000"/>
              <w:bottom w:val="single" w:sz="4" w:space="0" w:color="000000"/>
              <w:right w:val="single" w:sz="4" w:space="0" w:color="000000"/>
            </w:tcBorders>
          </w:tcPr>
          <w:p w:rsidR="00D0456E" w:rsidRDefault="00D0456E">
            <w:pPr>
              <w:spacing w:after="160" w:line="259" w:lineRule="auto"/>
              <w:ind w:left="0" w:firstLine="0"/>
              <w:jc w:val="left"/>
            </w:pPr>
          </w:p>
        </w:tc>
        <w:tc>
          <w:tcPr>
            <w:tcW w:w="1174"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1" w:firstLine="0"/>
              <w:jc w:val="left"/>
            </w:pPr>
            <w:r>
              <w:rPr>
                <w:sz w:val="20"/>
              </w:rPr>
              <w:t xml:space="preserve">  </w:t>
            </w:r>
          </w:p>
        </w:tc>
      </w:tr>
    </w:tbl>
    <w:p w:rsidR="00D0456E" w:rsidRDefault="00927C2A">
      <w:pPr>
        <w:spacing w:after="3895" w:line="259" w:lineRule="auto"/>
        <w:ind w:left="0" w:firstLine="0"/>
        <w:jc w:val="left"/>
      </w:pPr>
      <w:r>
        <w:t xml:space="preserve"> </w:t>
      </w:r>
    </w:p>
    <w:p w:rsidR="00D0456E" w:rsidRDefault="00927C2A">
      <w:pPr>
        <w:pStyle w:val="Heading1"/>
        <w:spacing w:after="0"/>
        <w:ind w:left="1088" w:right="2160"/>
        <w:jc w:val="center"/>
      </w:pPr>
      <w:r>
        <w:t xml:space="preserve">EOC 8-2 </w:t>
      </w:r>
    </w:p>
    <w:p w:rsidR="00D0456E" w:rsidRDefault="00927C2A">
      <w:pPr>
        <w:spacing w:after="0" w:line="259" w:lineRule="auto"/>
        <w:ind w:left="0" w:right="1614" w:firstLine="0"/>
        <w:jc w:val="right"/>
      </w:pPr>
      <w:r>
        <w:rPr>
          <w:rFonts w:ascii="Calibri" w:eastAsia="Calibri" w:hAnsi="Calibri" w:cs="Calibri"/>
        </w:rPr>
        <w:t xml:space="preserve"> </w:t>
      </w:r>
    </w:p>
    <w:p w:rsidR="00D0456E" w:rsidRDefault="00927C2A">
      <w:pPr>
        <w:spacing w:after="0" w:line="259" w:lineRule="auto"/>
        <w:ind w:left="1080" w:firstLine="0"/>
        <w:jc w:val="left"/>
      </w:pPr>
      <w:r>
        <w:rPr>
          <w:b/>
        </w:rPr>
        <w:t xml:space="preserve"> </w:t>
      </w:r>
    </w:p>
    <w:p w:rsidR="00D0456E" w:rsidRDefault="00927C2A">
      <w:pPr>
        <w:spacing w:after="0" w:line="259" w:lineRule="auto"/>
        <w:ind w:left="1080" w:firstLine="0"/>
        <w:jc w:val="left"/>
      </w:pPr>
      <w:r>
        <w:rPr>
          <w:b/>
        </w:rPr>
        <w:t xml:space="preserve"> </w:t>
      </w:r>
    </w:p>
    <w:p w:rsidR="00D0456E" w:rsidRDefault="00927C2A">
      <w:pPr>
        <w:spacing w:after="0" w:line="259" w:lineRule="auto"/>
        <w:ind w:left="1080" w:firstLine="0"/>
        <w:jc w:val="left"/>
      </w:pPr>
      <w:r>
        <w:rPr>
          <w:b/>
        </w:rPr>
        <w:t xml:space="preserve"> </w:t>
      </w:r>
    </w:p>
    <w:p w:rsidR="00D0456E" w:rsidRDefault="00927C2A">
      <w:pPr>
        <w:spacing w:after="0" w:line="259" w:lineRule="auto"/>
        <w:ind w:left="1080" w:firstLine="0"/>
        <w:jc w:val="left"/>
      </w:pPr>
      <w:r>
        <w:rPr>
          <w:b/>
        </w:rPr>
        <w:t xml:space="preserve"> </w:t>
      </w:r>
    </w:p>
    <w:p w:rsidR="00D0456E" w:rsidRDefault="00927C2A">
      <w:pPr>
        <w:spacing w:after="205" w:line="259" w:lineRule="auto"/>
        <w:jc w:val="center"/>
      </w:pPr>
      <w:r>
        <w:rPr>
          <w:b/>
        </w:rPr>
        <w:t xml:space="preserve">CHAPTER 8 </w:t>
      </w:r>
    </w:p>
    <w:p w:rsidR="00D0456E" w:rsidRDefault="00927C2A">
      <w:pPr>
        <w:spacing w:after="205" w:line="259" w:lineRule="auto"/>
        <w:ind w:right="2"/>
        <w:jc w:val="center"/>
      </w:pPr>
      <w:r>
        <w:rPr>
          <w:b/>
        </w:rPr>
        <w:t xml:space="preserve">CONSOLIDATED TAX RETURNS </w:t>
      </w:r>
    </w:p>
    <w:p w:rsidR="00D0456E" w:rsidRDefault="00927C2A">
      <w:pPr>
        <w:spacing w:after="3" w:line="259" w:lineRule="auto"/>
        <w:ind w:right="3"/>
        <w:jc w:val="center"/>
      </w:pPr>
      <w:r>
        <w:rPr>
          <w:b/>
        </w:rPr>
        <w:t xml:space="preserve">SOLUTIONS TO PROBLEM MATERIALS </w:t>
      </w:r>
    </w:p>
    <w:p w:rsidR="00D0456E" w:rsidRDefault="00927C2A">
      <w:pPr>
        <w:spacing w:after="0" w:line="259" w:lineRule="auto"/>
        <w:ind w:left="1080" w:firstLine="0"/>
        <w:jc w:val="left"/>
      </w:pPr>
      <w:r>
        <w:t xml:space="preserve"> </w:t>
      </w:r>
    </w:p>
    <w:p w:rsidR="00D0456E" w:rsidRDefault="00927C2A">
      <w:pPr>
        <w:spacing w:after="0" w:line="259" w:lineRule="auto"/>
        <w:ind w:left="1080" w:firstLine="0"/>
        <w:jc w:val="left"/>
      </w:pPr>
      <w:r>
        <w:t xml:space="preserve"> </w:t>
      </w:r>
    </w:p>
    <w:p w:rsidR="00D0456E" w:rsidRDefault="00927C2A">
      <w:pPr>
        <w:spacing w:after="0" w:line="259" w:lineRule="auto"/>
        <w:ind w:left="1080" w:firstLine="0"/>
        <w:jc w:val="left"/>
      </w:pPr>
      <w:r>
        <w:t xml:space="preserve"> </w:t>
      </w:r>
    </w:p>
    <w:p w:rsidR="00D0456E" w:rsidRDefault="00927C2A">
      <w:pPr>
        <w:spacing w:after="0" w:line="259" w:lineRule="auto"/>
        <w:ind w:left="1080" w:firstLine="0"/>
        <w:jc w:val="left"/>
      </w:pPr>
      <w:r>
        <w:t xml:space="preserve"> </w:t>
      </w:r>
    </w:p>
    <w:p w:rsidR="00D0456E" w:rsidRDefault="00927C2A">
      <w:pPr>
        <w:pStyle w:val="Heading1"/>
        <w:ind w:left="1090"/>
      </w:pPr>
      <w:r>
        <w:t xml:space="preserve">DISCUSSION QUESTIONS </w:t>
      </w:r>
    </w:p>
    <w:p w:rsidR="00D0456E" w:rsidRDefault="00927C2A">
      <w:pPr>
        <w:spacing w:after="0" w:line="259" w:lineRule="auto"/>
        <w:ind w:left="1080" w:firstLine="0"/>
        <w:jc w:val="left"/>
      </w:pPr>
      <w:r>
        <w:rPr>
          <w:b/>
        </w:rPr>
        <w:t xml:space="preserve"> </w:t>
      </w:r>
    </w:p>
    <w:p w:rsidR="00D0456E" w:rsidRDefault="00927C2A">
      <w:pPr>
        <w:numPr>
          <w:ilvl w:val="0"/>
          <w:numId w:val="1"/>
        </w:numPr>
        <w:spacing w:after="297"/>
        <w:ind w:right="43" w:hanging="541"/>
      </w:pPr>
      <w:r>
        <w:t xml:space="preserve">(LO 1) There are significant nontax reasons for creating corporate conglomerates, including: </w:t>
      </w:r>
    </w:p>
    <w:p w:rsidR="00D0456E" w:rsidRDefault="00927C2A">
      <w:pPr>
        <w:numPr>
          <w:ilvl w:val="1"/>
          <w:numId w:val="1"/>
        </w:numPr>
        <w:spacing w:after="256"/>
        <w:ind w:right="43" w:hanging="360"/>
      </w:pPr>
      <w:r>
        <w:t xml:space="preserve">The isolation of the assets of one corporation from the liabilities of another. </w:t>
      </w:r>
    </w:p>
    <w:p w:rsidR="00D0456E" w:rsidRDefault="00927C2A">
      <w:pPr>
        <w:numPr>
          <w:ilvl w:val="1"/>
          <w:numId w:val="1"/>
        </w:numPr>
        <w:spacing w:after="256"/>
        <w:ind w:right="43" w:hanging="360"/>
      </w:pPr>
      <w:r>
        <w:t xml:space="preserve">The execution of estate planning objectives. </w:t>
      </w:r>
    </w:p>
    <w:p w:rsidR="00D0456E" w:rsidRDefault="00927C2A">
      <w:pPr>
        <w:numPr>
          <w:ilvl w:val="1"/>
          <w:numId w:val="1"/>
        </w:numPr>
        <w:spacing w:after="256"/>
        <w:ind w:right="43" w:hanging="360"/>
      </w:pPr>
      <w:r>
        <w:t xml:space="preserve">A perceived value of retaining the separate identities of the acquired corporation. </w:t>
      </w:r>
    </w:p>
    <w:p w:rsidR="00D0456E" w:rsidRDefault="00927C2A">
      <w:pPr>
        <w:numPr>
          <w:ilvl w:val="1"/>
          <w:numId w:val="1"/>
        </w:numPr>
        <w:spacing w:after="256"/>
        <w:ind w:right="43" w:hanging="360"/>
      </w:pPr>
      <w:r>
        <w:t xml:space="preserve">A need to shield the identities of a subsidiary’s true owners from the public. </w:t>
      </w:r>
    </w:p>
    <w:p w:rsidR="00D0456E" w:rsidRDefault="00927C2A">
      <w:pPr>
        <w:numPr>
          <w:ilvl w:val="1"/>
          <w:numId w:val="1"/>
        </w:numPr>
        <w:spacing w:after="232"/>
        <w:ind w:right="43" w:hanging="360"/>
      </w:pPr>
      <w:r>
        <w:t>A desire to move an affiliate from control of</w:t>
      </w:r>
      <w:r>
        <w:t xml:space="preserve"> its activities in a “business unfriendly” state to that of its new parent entity, which is resident in a “business friendly” jurisdiction. </w:t>
      </w:r>
    </w:p>
    <w:p w:rsidR="00D0456E" w:rsidRDefault="00927C2A">
      <w:pPr>
        <w:numPr>
          <w:ilvl w:val="0"/>
          <w:numId w:val="1"/>
        </w:numPr>
        <w:spacing w:after="293"/>
        <w:ind w:right="43" w:hanging="541"/>
      </w:pPr>
      <w:r>
        <w:t>(LO 1) A consolidation election may be available as a result of various tax and nontax motivated business decisions</w:t>
      </w:r>
      <w:r>
        <w:t xml:space="preserve">. </w:t>
      </w:r>
    </w:p>
    <w:p w:rsidR="00D0456E" w:rsidRDefault="00927C2A">
      <w:pPr>
        <w:numPr>
          <w:ilvl w:val="1"/>
          <w:numId w:val="1"/>
        </w:numPr>
        <w:spacing w:after="256"/>
        <w:ind w:right="43" w:hanging="360"/>
      </w:pPr>
      <w:r>
        <w:t xml:space="preserve">A merger, acquisition, or other corporate combination. </w:t>
      </w:r>
    </w:p>
    <w:p w:rsidR="00D0456E" w:rsidRDefault="00927C2A">
      <w:pPr>
        <w:numPr>
          <w:ilvl w:val="1"/>
          <w:numId w:val="1"/>
        </w:numPr>
        <w:spacing w:after="294"/>
        <w:ind w:right="43" w:hanging="360"/>
      </w:pPr>
      <w:r>
        <w:t xml:space="preserve">A structural change in the capital of a corporation due to regulatory requirements, competitive pressures, or economizing of operations. </w:t>
      </w:r>
    </w:p>
    <w:p w:rsidR="00D0456E" w:rsidRDefault="00927C2A">
      <w:pPr>
        <w:numPr>
          <w:ilvl w:val="1"/>
          <w:numId w:val="1"/>
        </w:numPr>
        <w:spacing w:after="222"/>
        <w:ind w:right="43" w:hanging="360"/>
      </w:pPr>
      <w:r>
        <w:t xml:space="preserve">A desire to gain tax or other financial advantages. </w:t>
      </w:r>
    </w:p>
    <w:p w:rsidR="00D0456E" w:rsidRDefault="00927C2A">
      <w:pPr>
        <w:numPr>
          <w:ilvl w:val="0"/>
          <w:numId w:val="1"/>
        </w:numPr>
        <w:ind w:right="43" w:hanging="541"/>
      </w:pPr>
      <w:r>
        <w:t>(LO 2)</w:t>
      </w:r>
      <w:r>
        <w:t xml:space="preserve"> </w:t>
      </w:r>
    </w:p>
    <w:p w:rsidR="00D0456E" w:rsidRDefault="00927C2A">
      <w:pPr>
        <w:numPr>
          <w:ilvl w:val="1"/>
          <w:numId w:val="2"/>
        </w:numPr>
        <w:spacing w:after="232"/>
        <w:ind w:right="43" w:hanging="720"/>
      </w:pPr>
      <w:r>
        <w:t xml:space="preserve">The length and details of the rules associated with consolidated returns make them poorly suited for placement in the Code. Moreover, as corporate structures and transactions become more complex every year, development of the expertise that the Treasury </w:t>
      </w:r>
      <w:r>
        <w:t xml:space="preserve">staffers (and the tax professionals that assist them) use to draft the Regulations is critical. Thus, the delegation of such rule-writing responsibilities may be appropriate. </w:t>
      </w:r>
    </w:p>
    <w:p w:rsidR="00D0456E" w:rsidRDefault="00927C2A">
      <w:pPr>
        <w:numPr>
          <w:ilvl w:val="1"/>
          <w:numId w:val="2"/>
        </w:numPr>
        <w:spacing w:after="199"/>
        <w:ind w:right="43" w:hanging="720"/>
      </w:pPr>
      <w:r>
        <w:t>Unelected individuals should not be charged with writing tax law. The public rev</w:t>
      </w:r>
      <w:r>
        <w:t xml:space="preserve">iew process for the consolidated return Regulations must remain thorough, to protect against abuses and unintended consequences. </w:t>
      </w:r>
    </w:p>
    <w:p w:rsidR="00D0456E" w:rsidRDefault="00927C2A">
      <w:pPr>
        <w:spacing w:after="883" w:line="259" w:lineRule="auto"/>
        <w:ind w:left="1080" w:firstLine="0"/>
        <w:jc w:val="left"/>
      </w:pPr>
      <w:r>
        <w:t xml:space="preserve"> </w:t>
      </w:r>
      <w:r>
        <w:tab/>
        <w:t xml:space="preserve"> </w:t>
      </w:r>
    </w:p>
    <w:p w:rsidR="00D0456E" w:rsidRDefault="00927C2A">
      <w:pPr>
        <w:spacing w:after="3" w:line="259" w:lineRule="auto"/>
        <w:jc w:val="center"/>
      </w:pPr>
      <w:r>
        <w:rPr>
          <w:b/>
        </w:rPr>
        <w:t xml:space="preserve">8-1 </w:t>
      </w:r>
    </w:p>
    <w:p w:rsidR="00D0456E" w:rsidRDefault="00D0456E">
      <w:pPr>
        <w:sectPr w:rsidR="00D0456E">
          <w:headerReference w:type="even" r:id="rId7"/>
          <w:headerReference w:type="default" r:id="rId8"/>
          <w:footerReference w:type="even" r:id="rId9"/>
          <w:footerReference w:type="default" r:id="rId10"/>
          <w:headerReference w:type="first" r:id="rId11"/>
          <w:footerReference w:type="first" r:id="rId12"/>
          <w:pgSz w:w="12240" w:h="15840"/>
          <w:pgMar w:top="755" w:right="719" w:bottom="699" w:left="720" w:header="720" w:footer="724" w:gutter="0"/>
          <w:cols w:space="720"/>
          <w:titlePg/>
        </w:sectPr>
      </w:pPr>
    </w:p>
    <w:p w:rsidR="00D0456E" w:rsidRDefault="00927C2A">
      <w:pPr>
        <w:numPr>
          <w:ilvl w:val="0"/>
          <w:numId w:val="1"/>
        </w:numPr>
        <w:ind w:right="43" w:hanging="541"/>
      </w:pPr>
      <w:r>
        <w:t>(LO 2, 3) Some of the more important differences between the book and tax treatments of conglomerates include the followin</w:t>
      </w:r>
      <w:r>
        <w:t xml:space="preserve">g. </w:t>
      </w:r>
    </w:p>
    <w:tbl>
      <w:tblPr>
        <w:tblStyle w:val="TableGrid"/>
        <w:tblW w:w="9000" w:type="dxa"/>
        <w:tblInd w:w="720" w:type="dxa"/>
        <w:tblCellMar>
          <w:top w:w="1" w:type="dxa"/>
          <w:left w:w="108" w:type="dxa"/>
          <w:bottom w:w="5" w:type="dxa"/>
          <w:right w:w="100" w:type="dxa"/>
        </w:tblCellMar>
        <w:tblLook w:val="04A0" w:firstRow="1" w:lastRow="0" w:firstColumn="1" w:lastColumn="0" w:noHBand="0" w:noVBand="1"/>
      </w:tblPr>
      <w:tblGrid>
        <w:gridCol w:w="1800"/>
        <w:gridCol w:w="3600"/>
        <w:gridCol w:w="3600"/>
      </w:tblGrid>
      <w:tr w:rsidR="00D0456E">
        <w:trPr>
          <w:trHeight w:val="730"/>
        </w:trPr>
        <w:tc>
          <w:tcPr>
            <w:tcW w:w="1800" w:type="dxa"/>
            <w:tcBorders>
              <w:top w:val="single" w:sz="4" w:space="0" w:color="000000"/>
              <w:left w:val="single" w:sz="4" w:space="0" w:color="000000"/>
              <w:bottom w:val="single" w:sz="4" w:space="0" w:color="000000"/>
              <w:right w:val="single" w:sz="4" w:space="0" w:color="000000"/>
            </w:tcBorders>
            <w:vAlign w:val="bottom"/>
          </w:tcPr>
          <w:p w:rsidR="00D0456E" w:rsidRDefault="00927C2A">
            <w:pPr>
              <w:spacing w:after="0" w:line="259" w:lineRule="auto"/>
              <w:ind w:left="0" w:firstLine="0"/>
              <w:jc w:val="left"/>
            </w:pPr>
            <w:r>
              <w:rPr>
                <w:b/>
              </w:rPr>
              <w:t xml:space="preserve">Event or </w:t>
            </w:r>
          </w:p>
          <w:p w:rsidR="00D0456E" w:rsidRDefault="00927C2A">
            <w:pPr>
              <w:spacing w:after="0" w:line="259" w:lineRule="auto"/>
              <w:ind w:left="0" w:firstLine="0"/>
              <w:jc w:val="left"/>
            </w:pPr>
            <w:r>
              <w:rPr>
                <w:b/>
              </w:rPr>
              <w:t xml:space="preserve">Requirement </w:t>
            </w:r>
          </w:p>
        </w:tc>
        <w:tc>
          <w:tcPr>
            <w:tcW w:w="360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rPr>
                <w:b/>
              </w:rPr>
              <w:t xml:space="preserve">Financial Accounting Effects (generally required when ownership levels are met) </w:t>
            </w:r>
          </w:p>
        </w:tc>
        <w:tc>
          <w:tcPr>
            <w:tcW w:w="3600" w:type="dxa"/>
            <w:tcBorders>
              <w:top w:val="single" w:sz="4" w:space="0" w:color="000000"/>
              <w:left w:val="single" w:sz="4" w:space="0" w:color="000000"/>
              <w:bottom w:val="single" w:sz="4" w:space="0" w:color="000000"/>
              <w:right w:val="single" w:sz="4" w:space="0" w:color="000000"/>
            </w:tcBorders>
            <w:vAlign w:val="bottom"/>
          </w:tcPr>
          <w:p w:rsidR="00D0456E" w:rsidRDefault="00927C2A">
            <w:pPr>
              <w:spacing w:after="0" w:line="259" w:lineRule="auto"/>
              <w:ind w:left="0" w:firstLine="0"/>
              <w:jc w:val="left"/>
            </w:pPr>
            <w:r>
              <w:rPr>
                <w:b/>
              </w:rPr>
              <w:t xml:space="preserve">Tax Effects  </w:t>
            </w:r>
          </w:p>
          <w:p w:rsidR="00D0456E" w:rsidRDefault="00927C2A">
            <w:pPr>
              <w:spacing w:after="0" w:line="259" w:lineRule="auto"/>
              <w:ind w:left="0" w:firstLine="0"/>
              <w:jc w:val="left"/>
            </w:pPr>
            <w:r>
              <w:rPr>
                <w:b/>
              </w:rPr>
              <w:t xml:space="preserve">(upon taxpayer election) </w:t>
            </w:r>
          </w:p>
        </w:tc>
      </w:tr>
      <w:tr w:rsidR="00D0456E">
        <w:trPr>
          <w:trHeight w:val="1570"/>
        </w:trPr>
        <w:tc>
          <w:tcPr>
            <w:tcW w:w="180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t xml:space="preserve">Acquiror takes over Target  </w:t>
            </w:r>
          </w:p>
        </w:tc>
        <w:tc>
          <w:tcPr>
            <w:tcW w:w="360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t xml:space="preserve">The transaction is treated as a purchase, with cost amounts marked up or down to fair market value (FMV). </w:t>
            </w:r>
          </w:p>
        </w:tc>
        <w:tc>
          <w:tcPr>
            <w:tcW w:w="3600" w:type="dxa"/>
            <w:tcBorders>
              <w:top w:val="single" w:sz="4" w:space="0" w:color="000000"/>
              <w:left w:val="single" w:sz="4" w:space="0" w:color="000000"/>
              <w:bottom w:val="single" w:sz="4" w:space="0" w:color="000000"/>
              <w:right w:val="single" w:sz="4" w:space="0" w:color="000000"/>
            </w:tcBorders>
            <w:vAlign w:val="bottom"/>
          </w:tcPr>
          <w:p w:rsidR="00D0456E" w:rsidRDefault="00927C2A">
            <w:pPr>
              <w:spacing w:after="0" w:line="259" w:lineRule="auto"/>
              <w:ind w:left="0" w:firstLine="0"/>
              <w:jc w:val="left"/>
            </w:pPr>
            <w:r>
              <w:t>Depends upon the structure of the deal. Nontaxable with carryover basis if a qualifying reorganization (see Chapter 7) or a stock purchase. If an ass</w:t>
            </w:r>
            <w:r>
              <w:t>et purchase, a FMV tax basis is taken.</w:t>
            </w:r>
          </w:p>
        </w:tc>
      </w:tr>
      <w:tr w:rsidR="00D0456E">
        <w:trPr>
          <w:trHeight w:val="1331"/>
        </w:trPr>
        <w:tc>
          <w:tcPr>
            <w:tcW w:w="1800" w:type="dxa"/>
            <w:tcBorders>
              <w:top w:val="single" w:sz="4" w:space="0" w:color="000000"/>
              <w:left w:val="single" w:sz="4" w:space="0" w:color="000000"/>
              <w:bottom w:val="single" w:sz="4" w:space="0" w:color="000000"/>
              <w:right w:val="single" w:sz="4" w:space="0" w:color="000000"/>
            </w:tcBorders>
            <w:vAlign w:val="center"/>
          </w:tcPr>
          <w:p w:rsidR="00D0456E" w:rsidRDefault="00927C2A">
            <w:pPr>
              <w:spacing w:after="0" w:line="259" w:lineRule="auto"/>
              <w:ind w:left="0" w:firstLine="0"/>
              <w:jc w:val="left"/>
            </w:pPr>
            <w:r>
              <w:t xml:space="preserve">Purchase price exceeds the sum of the net assets acquired </w:t>
            </w:r>
          </w:p>
        </w:tc>
        <w:tc>
          <w:tcPr>
            <w:tcW w:w="3600" w:type="dxa"/>
            <w:tcBorders>
              <w:top w:val="single" w:sz="4" w:space="0" w:color="000000"/>
              <w:left w:val="single" w:sz="4" w:space="0" w:color="000000"/>
              <w:bottom w:val="single" w:sz="4" w:space="0" w:color="000000"/>
              <w:right w:val="single" w:sz="4" w:space="0" w:color="000000"/>
            </w:tcBorders>
            <w:vAlign w:val="bottom"/>
          </w:tcPr>
          <w:p w:rsidR="00D0456E" w:rsidRDefault="00927C2A">
            <w:pPr>
              <w:spacing w:after="0" w:line="259" w:lineRule="auto"/>
              <w:ind w:left="0" w:firstLine="0"/>
              <w:jc w:val="left"/>
            </w:pPr>
            <w:r>
              <w:t xml:space="preserve">Goodwill is created. No scheduled amortization. Impairments or restorations of goodwill are recorded on the income statement and balance sheet. </w:t>
            </w:r>
          </w:p>
        </w:tc>
        <w:tc>
          <w:tcPr>
            <w:tcW w:w="3600" w:type="dxa"/>
            <w:tcBorders>
              <w:top w:val="single" w:sz="4" w:space="0" w:color="000000"/>
              <w:left w:val="single" w:sz="4" w:space="0" w:color="000000"/>
              <w:bottom w:val="single" w:sz="4" w:space="0" w:color="000000"/>
              <w:right w:val="single" w:sz="4" w:space="0" w:color="000000"/>
            </w:tcBorders>
          </w:tcPr>
          <w:p w:rsidR="00D0456E" w:rsidRDefault="00927C2A">
            <w:pPr>
              <w:spacing w:after="0" w:line="259" w:lineRule="auto"/>
              <w:ind w:left="0" w:firstLine="0"/>
              <w:jc w:val="left"/>
            </w:pPr>
            <w:r>
              <w:t xml:space="preserve">Goodwill is created. Purchased goodwill usually is amortized against taxable income over 15 years. </w:t>
            </w:r>
          </w:p>
        </w:tc>
      </w:tr>
      <w:tr w:rsidR="00D0456E">
        <w:trPr>
          <w:trHeight w:val="850"/>
        </w:trPr>
        <w:tc>
          <w:tcPr>
            <w:tcW w:w="1800" w:type="dxa"/>
            <w:tcBorders>
              <w:top w:val="single" w:sz="4" w:space="0" w:color="000000"/>
              <w:left w:val="single" w:sz="4" w:space="0" w:color="000000"/>
              <w:bottom w:val="single" w:sz="4" w:space="0" w:color="000000"/>
              <w:right w:val="single" w:sz="4" w:space="0" w:color="000000"/>
            </w:tcBorders>
            <w:vAlign w:val="bottom"/>
          </w:tcPr>
          <w:p w:rsidR="00D0456E" w:rsidRDefault="00927C2A">
            <w:pPr>
              <w:spacing w:after="0" w:line="259" w:lineRule="auto"/>
              <w:ind w:left="0" w:firstLine="0"/>
              <w:jc w:val="left"/>
            </w:pPr>
            <w:r>
              <w:t xml:space="preserve">Building the consolidated report </w:t>
            </w:r>
          </w:p>
        </w:tc>
        <w:tc>
          <w:tcPr>
            <w:tcW w:w="3600" w:type="dxa"/>
            <w:tcBorders>
              <w:top w:val="single" w:sz="4" w:space="0" w:color="000000"/>
              <w:left w:val="single" w:sz="4" w:space="0" w:color="000000"/>
              <w:bottom w:val="single" w:sz="4" w:space="0" w:color="000000"/>
              <w:right w:val="single" w:sz="4" w:space="0" w:color="000000"/>
            </w:tcBorders>
            <w:vAlign w:val="bottom"/>
          </w:tcPr>
          <w:p w:rsidR="00D0456E" w:rsidRDefault="00927C2A">
            <w:pPr>
              <w:spacing w:after="0" w:line="259" w:lineRule="auto"/>
              <w:ind w:left="0" w:firstLine="0"/>
              <w:jc w:val="left"/>
            </w:pPr>
            <w:r>
              <w:t>Non-U.S. corporations and noncorporate entities can be included in a consolidated financial statement.</w:t>
            </w:r>
          </w:p>
        </w:tc>
        <w:tc>
          <w:tcPr>
            <w:tcW w:w="3600" w:type="dxa"/>
            <w:tcBorders>
              <w:top w:val="single" w:sz="4" w:space="0" w:color="000000"/>
              <w:left w:val="single" w:sz="4" w:space="0" w:color="000000"/>
              <w:bottom w:val="single" w:sz="4" w:space="0" w:color="000000"/>
              <w:right w:val="single" w:sz="4" w:space="0" w:color="000000"/>
            </w:tcBorders>
            <w:vAlign w:val="center"/>
          </w:tcPr>
          <w:p w:rsidR="00D0456E" w:rsidRDefault="00927C2A">
            <w:pPr>
              <w:spacing w:after="0" w:line="259" w:lineRule="auto"/>
              <w:ind w:left="0" w:firstLine="0"/>
              <w:jc w:val="left"/>
            </w:pPr>
            <w:r>
              <w:t>Only U.S. C corpor</w:t>
            </w:r>
            <w:r>
              <w:t xml:space="preserve">ations can be included in a consolidated tax return. </w:t>
            </w:r>
          </w:p>
        </w:tc>
      </w:tr>
      <w:tr w:rsidR="00D0456E">
        <w:trPr>
          <w:trHeight w:val="611"/>
        </w:trPr>
        <w:tc>
          <w:tcPr>
            <w:tcW w:w="1800" w:type="dxa"/>
            <w:tcBorders>
              <w:top w:val="single" w:sz="4" w:space="0" w:color="000000"/>
              <w:left w:val="single" w:sz="4" w:space="0" w:color="000000"/>
              <w:bottom w:val="single" w:sz="4" w:space="0" w:color="000000"/>
              <w:right w:val="single" w:sz="4" w:space="0" w:color="000000"/>
            </w:tcBorders>
            <w:vAlign w:val="bottom"/>
          </w:tcPr>
          <w:p w:rsidR="00D0456E" w:rsidRDefault="00927C2A">
            <w:pPr>
              <w:spacing w:after="0" w:line="259" w:lineRule="auto"/>
              <w:ind w:left="0" w:firstLine="0"/>
              <w:jc w:val="left"/>
            </w:pPr>
            <w:r>
              <w:t xml:space="preserve">Affiliates to be included </w:t>
            </w:r>
          </w:p>
        </w:tc>
        <w:tc>
          <w:tcPr>
            <w:tcW w:w="3600" w:type="dxa"/>
            <w:tcBorders>
              <w:top w:val="single" w:sz="4" w:space="0" w:color="000000"/>
              <w:left w:val="single" w:sz="4" w:space="0" w:color="000000"/>
              <w:bottom w:val="single" w:sz="4" w:space="0" w:color="000000"/>
              <w:right w:val="single" w:sz="4" w:space="0" w:color="000000"/>
            </w:tcBorders>
            <w:vAlign w:val="bottom"/>
          </w:tcPr>
          <w:p w:rsidR="00D0456E" w:rsidRDefault="00927C2A">
            <w:pPr>
              <w:spacing w:after="0" w:line="259" w:lineRule="auto"/>
              <w:ind w:left="0" w:firstLine="0"/>
              <w:jc w:val="left"/>
            </w:pPr>
            <w:r>
              <w:t xml:space="preserve">A greater than 50% ownership threshold is used. </w:t>
            </w:r>
          </w:p>
        </w:tc>
        <w:tc>
          <w:tcPr>
            <w:tcW w:w="3600" w:type="dxa"/>
            <w:tcBorders>
              <w:top w:val="single" w:sz="4" w:space="0" w:color="000000"/>
              <w:left w:val="single" w:sz="4" w:space="0" w:color="000000"/>
              <w:bottom w:val="single" w:sz="4" w:space="0" w:color="000000"/>
              <w:right w:val="single" w:sz="4" w:space="0" w:color="000000"/>
            </w:tcBorders>
            <w:vAlign w:val="bottom"/>
          </w:tcPr>
          <w:p w:rsidR="00D0456E" w:rsidRDefault="00927C2A">
            <w:pPr>
              <w:spacing w:after="0" w:line="259" w:lineRule="auto"/>
              <w:ind w:left="0" w:firstLine="0"/>
              <w:jc w:val="left"/>
            </w:pPr>
            <w:r>
              <w:t>An 80% or greater ownership threshold is used.</w:t>
            </w:r>
          </w:p>
        </w:tc>
      </w:tr>
    </w:tbl>
    <w:p w:rsidR="00D0456E" w:rsidRDefault="00927C2A">
      <w:pPr>
        <w:spacing w:after="0" w:line="259" w:lineRule="auto"/>
        <w:ind w:left="0" w:firstLine="0"/>
        <w:jc w:val="left"/>
      </w:pPr>
      <w:r>
        <w:t xml:space="preserve"> </w:t>
      </w:r>
    </w:p>
    <w:p w:rsidR="00D0456E" w:rsidRDefault="00927C2A">
      <w:pPr>
        <w:numPr>
          <w:ilvl w:val="0"/>
          <w:numId w:val="1"/>
        </w:numPr>
        <w:spacing w:after="222"/>
        <w:ind w:right="43" w:hanging="541"/>
      </w:pPr>
      <w:r>
        <w:t xml:space="preserve">(LO 3) SPEECH OUTLINE </w:t>
      </w:r>
    </w:p>
    <w:p w:rsidR="00D0456E" w:rsidRDefault="00927C2A">
      <w:pPr>
        <w:spacing w:after="216"/>
        <w:ind w:left="715" w:right="43"/>
      </w:pPr>
      <w:r>
        <w:t xml:space="preserve">November 1, 2017 </w:t>
      </w:r>
    </w:p>
    <w:p w:rsidR="00D0456E" w:rsidRDefault="00927C2A">
      <w:pPr>
        <w:pStyle w:val="Heading1"/>
        <w:spacing w:after="251"/>
        <w:ind w:left="730"/>
      </w:pPr>
      <w:r>
        <w:t xml:space="preserve">WHEN TO USE CONSOLIDATED RETURNS Potential Advantages of Filing Consolidated Returns </w:t>
      </w:r>
    </w:p>
    <w:p w:rsidR="00D0456E" w:rsidRDefault="00927C2A">
      <w:pPr>
        <w:numPr>
          <w:ilvl w:val="0"/>
          <w:numId w:val="3"/>
        </w:numPr>
        <w:spacing w:after="207"/>
        <w:ind w:right="43" w:hanging="360"/>
      </w:pPr>
      <w:r>
        <w:t xml:space="preserve">Use the operating and capital loss carryovers of one group member to shelter the corresponding income of other group members. </w:t>
      </w:r>
    </w:p>
    <w:p w:rsidR="00D0456E" w:rsidRDefault="00927C2A">
      <w:pPr>
        <w:numPr>
          <w:ilvl w:val="0"/>
          <w:numId w:val="3"/>
        </w:numPr>
        <w:spacing w:after="168"/>
        <w:ind w:right="43" w:hanging="360"/>
      </w:pPr>
      <w:r>
        <w:t>Eliminate taxation of all intercompany divi</w:t>
      </w:r>
      <w:r>
        <w:t xml:space="preserve">dends. </w:t>
      </w:r>
    </w:p>
    <w:p w:rsidR="00D0456E" w:rsidRDefault="00927C2A">
      <w:pPr>
        <w:numPr>
          <w:ilvl w:val="0"/>
          <w:numId w:val="3"/>
        </w:numPr>
        <w:spacing w:after="207"/>
        <w:ind w:right="43" w:hanging="360"/>
      </w:pPr>
      <w:r>
        <w:t xml:space="preserve">Defer recognition of income from certain intercompany transactions, an advantage as to the time value of money. </w:t>
      </w:r>
    </w:p>
    <w:p w:rsidR="00D0456E" w:rsidRDefault="00927C2A">
      <w:pPr>
        <w:numPr>
          <w:ilvl w:val="0"/>
          <w:numId w:val="3"/>
        </w:numPr>
        <w:spacing w:after="206"/>
        <w:ind w:right="43" w:hanging="360"/>
      </w:pPr>
      <w:r>
        <w:t xml:space="preserve">Optimize certain deductions and credits, by using consolidated amounts in computing pertinent limitations. </w:t>
      </w:r>
    </w:p>
    <w:p w:rsidR="00D0456E" w:rsidRDefault="00927C2A">
      <w:pPr>
        <w:numPr>
          <w:ilvl w:val="0"/>
          <w:numId w:val="3"/>
        </w:numPr>
        <w:spacing w:after="207"/>
        <w:ind w:right="43" w:hanging="360"/>
      </w:pPr>
      <w:r>
        <w:t>Increase the tax basis of i</w:t>
      </w:r>
      <w:r>
        <w:t xml:space="preserve">nvestments in the stock of subsidiaries by the amount of positive subsidiary taxable income. </w:t>
      </w:r>
    </w:p>
    <w:p w:rsidR="00D0456E" w:rsidRDefault="00927C2A">
      <w:pPr>
        <w:numPr>
          <w:ilvl w:val="0"/>
          <w:numId w:val="3"/>
        </w:numPr>
        <w:spacing w:after="207"/>
        <w:ind w:right="43" w:hanging="360"/>
      </w:pPr>
      <w:r>
        <w:t>Use the alternative minimum tax (AMT) attributes of all group members in deriving consolidated alternative minimum taxable income (AMTI), thereby reducing the mag</w:t>
      </w:r>
      <w:r>
        <w:t xml:space="preserve">nitude of the adjustment for adjusted current earnings (ACE) and of other AMT preferences and adjustments. </w:t>
      </w:r>
    </w:p>
    <w:p w:rsidR="00D0456E" w:rsidRDefault="00927C2A">
      <w:pPr>
        <w:numPr>
          <w:ilvl w:val="0"/>
          <w:numId w:val="3"/>
        </w:numPr>
        <w:spacing w:after="228"/>
        <w:ind w:right="43" w:hanging="360"/>
      </w:pPr>
      <w:r>
        <w:t xml:space="preserve">Use the current-year operating losses of one group member to defer or reduce the (regular or AMT) estimated tax payments of the entire group. </w:t>
      </w:r>
    </w:p>
    <w:p w:rsidR="00D0456E" w:rsidRDefault="00927C2A">
      <w:pPr>
        <w:numPr>
          <w:ilvl w:val="0"/>
          <w:numId w:val="3"/>
        </w:numPr>
        <w:ind w:right="43" w:hanging="360"/>
      </w:pPr>
      <w:r>
        <w:t>The s</w:t>
      </w:r>
      <w:r>
        <w:t xml:space="preserve">hareholdings of all group members can be used in meeting other statutory requirements. </w:t>
      </w:r>
    </w:p>
    <w:p w:rsidR="00D0456E" w:rsidRDefault="00927C2A">
      <w:pPr>
        <w:pStyle w:val="Heading1"/>
        <w:spacing w:after="193"/>
        <w:ind w:left="730"/>
      </w:pPr>
      <w:r>
        <w:t xml:space="preserve">Potential Disadvantages of Filing Consolidated Returns </w:t>
      </w:r>
    </w:p>
    <w:p w:rsidR="00D0456E" w:rsidRDefault="00927C2A">
      <w:pPr>
        <w:numPr>
          <w:ilvl w:val="0"/>
          <w:numId w:val="4"/>
        </w:numPr>
        <w:spacing w:after="186"/>
        <w:ind w:right="43" w:hanging="360"/>
      </w:pPr>
      <w:r>
        <w:t>Binding nature of the election on all subsequent tax years of the group members, unless either the makeup of the</w:t>
      </w:r>
      <w:r>
        <w:t xml:space="preserve"> affiliated group changes, or the IRS consents to revocation of the election. </w:t>
      </w:r>
    </w:p>
    <w:p w:rsidR="00D0456E" w:rsidRDefault="00927C2A">
      <w:pPr>
        <w:numPr>
          <w:ilvl w:val="0"/>
          <w:numId w:val="4"/>
        </w:numPr>
        <w:spacing w:after="187"/>
        <w:ind w:right="43" w:hanging="360"/>
      </w:pPr>
      <w:r>
        <w:t xml:space="preserve">Apply the capital and operating losses of one group member against the corresponding income of the other group members when assignment of such losses to separate return years would produce a greater tax reduction therefrom. </w:t>
      </w:r>
    </w:p>
    <w:p w:rsidR="00D0456E" w:rsidRDefault="00927C2A">
      <w:pPr>
        <w:numPr>
          <w:ilvl w:val="0"/>
          <w:numId w:val="4"/>
        </w:numPr>
        <w:spacing w:after="188"/>
        <w:ind w:right="43" w:hanging="360"/>
      </w:pPr>
      <w:r>
        <w:t>Defer recognition of losses fro</w:t>
      </w:r>
      <w:r>
        <w:t xml:space="preserve">m certain intercompany transactions, a detriment as to the time value of money. </w:t>
      </w:r>
    </w:p>
    <w:p w:rsidR="00D0456E" w:rsidRDefault="00927C2A">
      <w:pPr>
        <w:numPr>
          <w:ilvl w:val="0"/>
          <w:numId w:val="4"/>
        </w:numPr>
        <w:spacing w:after="187"/>
        <w:ind w:right="43" w:hanging="360"/>
      </w:pPr>
      <w:r>
        <w:t xml:space="preserve">Decrease the amounts of certain deductions and credits, by using consolidated amounts in computing pertinent limitations. </w:t>
      </w:r>
    </w:p>
    <w:p w:rsidR="00D0456E" w:rsidRDefault="00927C2A">
      <w:pPr>
        <w:numPr>
          <w:ilvl w:val="0"/>
          <w:numId w:val="4"/>
        </w:numPr>
        <w:spacing w:after="187"/>
        <w:ind w:right="43" w:hanging="360"/>
      </w:pPr>
      <w:r>
        <w:t>Decrease the tax basis of investments in the stock o</w:t>
      </w:r>
      <w:r>
        <w:t xml:space="preserve">f subsidiaries by the amount of negative subsidiary taxable income, and by distributions therefrom. </w:t>
      </w:r>
    </w:p>
    <w:p w:rsidR="00D0456E" w:rsidRDefault="00927C2A">
      <w:pPr>
        <w:numPr>
          <w:ilvl w:val="0"/>
          <w:numId w:val="4"/>
        </w:numPr>
        <w:spacing w:after="188"/>
        <w:ind w:right="43" w:hanging="360"/>
      </w:pPr>
      <w:r>
        <w:t>Creation of short taxable years of subsidiaries, in meeting the requirement that all group members use the parent’s tax year, thereby bunching income and e</w:t>
      </w:r>
      <w:r>
        <w:t xml:space="preserve">xpending one of the years of the subsidiary’s charitable contribution and loss carryforward period. </w:t>
      </w:r>
    </w:p>
    <w:p w:rsidR="00D0456E" w:rsidRDefault="00927C2A">
      <w:pPr>
        <w:numPr>
          <w:ilvl w:val="0"/>
          <w:numId w:val="4"/>
        </w:numPr>
        <w:spacing w:after="147"/>
        <w:ind w:right="43" w:hanging="360"/>
      </w:pPr>
      <w:r>
        <w:t xml:space="preserve">Return elections made by the parent are binding on all members of the filing group for the year. </w:t>
      </w:r>
    </w:p>
    <w:p w:rsidR="00D0456E" w:rsidRDefault="00927C2A">
      <w:pPr>
        <w:numPr>
          <w:ilvl w:val="0"/>
          <w:numId w:val="4"/>
        </w:numPr>
        <w:spacing w:after="187"/>
        <w:ind w:right="43" w:hanging="360"/>
      </w:pPr>
      <w:r>
        <w:t xml:space="preserve">Recognition of legal and other rights of minority shareholders in the context of a consolidated group. </w:t>
      </w:r>
    </w:p>
    <w:p w:rsidR="00D0456E" w:rsidRDefault="00927C2A">
      <w:pPr>
        <w:numPr>
          <w:ilvl w:val="0"/>
          <w:numId w:val="4"/>
        </w:numPr>
        <w:ind w:right="43" w:hanging="360"/>
      </w:pPr>
      <w:r>
        <w:t xml:space="preserve">Incurring of additional administrative costs in complying with the consolidated return regulations. </w:t>
      </w:r>
    </w:p>
    <w:p w:rsidR="00D0456E" w:rsidRDefault="00927C2A">
      <w:pPr>
        <w:spacing w:after="0" w:line="259" w:lineRule="auto"/>
        <w:ind w:left="720" w:firstLine="0"/>
        <w:jc w:val="left"/>
      </w:pPr>
      <w:r>
        <w:t xml:space="preserve"> </w:t>
      </w:r>
    </w:p>
    <w:p w:rsidR="00D0456E" w:rsidRDefault="00927C2A">
      <w:pPr>
        <w:numPr>
          <w:ilvl w:val="0"/>
          <w:numId w:val="5"/>
        </w:numPr>
        <w:spacing w:after="248"/>
        <w:ind w:right="43" w:hanging="720"/>
      </w:pPr>
      <w:r>
        <w:t xml:space="preserve">(LO 3, 4, 5) Before a consolidation election can </w:t>
      </w:r>
      <w:r>
        <w:t xml:space="preserve">be made under the tax law, three major requirements first must be met. </w:t>
      </w:r>
    </w:p>
    <w:p w:rsidR="00D0456E" w:rsidRDefault="00927C2A">
      <w:pPr>
        <w:numPr>
          <w:ilvl w:val="1"/>
          <w:numId w:val="5"/>
        </w:numPr>
        <w:ind w:right="43" w:hanging="360"/>
      </w:pPr>
      <w:r>
        <w:t xml:space="preserve">Affiliated group status Stock ownership tests </w:t>
      </w:r>
    </w:p>
    <w:p w:rsidR="00D0456E" w:rsidRDefault="00927C2A">
      <w:pPr>
        <w:spacing w:after="205" w:line="259" w:lineRule="auto"/>
        <w:ind w:left="3881" w:firstLine="0"/>
        <w:jc w:val="center"/>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column">
                  <wp:posOffset>2464338</wp:posOffset>
                </wp:positionH>
                <wp:positionV relativeFrom="paragraph">
                  <wp:posOffset>-44305</wp:posOffset>
                </wp:positionV>
                <wp:extent cx="582930" cy="901446"/>
                <wp:effectExtent l="0" t="0" r="0" b="0"/>
                <wp:wrapSquare wrapText="bothSides"/>
                <wp:docPr id="30691" name="Group 30691"/>
                <wp:cNvGraphicFramePr/>
                <a:graphic xmlns:a="http://schemas.openxmlformats.org/drawingml/2006/main">
                  <a:graphicData uri="http://schemas.microsoft.com/office/word/2010/wordprocessingGroup">
                    <wpg:wgp>
                      <wpg:cNvGrpSpPr/>
                      <wpg:grpSpPr>
                        <a:xfrm>
                          <a:off x="0" y="0"/>
                          <a:ext cx="582930" cy="901446"/>
                          <a:chOff x="0" y="0"/>
                          <a:chExt cx="582930" cy="901446"/>
                        </a:xfrm>
                      </wpg:grpSpPr>
                      <wps:wsp>
                        <wps:cNvPr id="1171" name="Shape 1171"/>
                        <wps:cNvSpPr/>
                        <wps:spPr>
                          <a:xfrm>
                            <a:off x="0" y="0"/>
                            <a:ext cx="576072" cy="76200"/>
                          </a:xfrm>
                          <a:custGeom>
                            <a:avLst/>
                            <a:gdLst/>
                            <a:ahLst/>
                            <a:cxnLst/>
                            <a:rect l="0" t="0" r="0" b="0"/>
                            <a:pathLst>
                              <a:path w="576072" h="76200">
                                <a:moveTo>
                                  <a:pt x="499872" y="0"/>
                                </a:moveTo>
                                <a:lnTo>
                                  <a:pt x="576072" y="38100"/>
                                </a:lnTo>
                                <a:lnTo>
                                  <a:pt x="499872" y="76200"/>
                                </a:lnTo>
                                <a:lnTo>
                                  <a:pt x="499872" y="42672"/>
                                </a:lnTo>
                                <a:lnTo>
                                  <a:pt x="4572" y="42672"/>
                                </a:lnTo>
                                <a:lnTo>
                                  <a:pt x="1524" y="41910"/>
                                </a:lnTo>
                                <a:lnTo>
                                  <a:pt x="0" y="38100"/>
                                </a:lnTo>
                                <a:lnTo>
                                  <a:pt x="1524" y="35052"/>
                                </a:lnTo>
                                <a:lnTo>
                                  <a:pt x="4572" y="33528"/>
                                </a:lnTo>
                                <a:lnTo>
                                  <a:pt x="499872" y="33528"/>
                                </a:lnTo>
                                <a:lnTo>
                                  <a:pt x="4998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2" name="Shape 1172"/>
                        <wps:cNvSpPr/>
                        <wps:spPr>
                          <a:xfrm>
                            <a:off x="6858" y="417576"/>
                            <a:ext cx="576072" cy="76200"/>
                          </a:xfrm>
                          <a:custGeom>
                            <a:avLst/>
                            <a:gdLst/>
                            <a:ahLst/>
                            <a:cxnLst/>
                            <a:rect l="0" t="0" r="0" b="0"/>
                            <a:pathLst>
                              <a:path w="576072" h="76200">
                                <a:moveTo>
                                  <a:pt x="499872" y="0"/>
                                </a:moveTo>
                                <a:lnTo>
                                  <a:pt x="576072" y="38100"/>
                                </a:lnTo>
                                <a:lnTo>
                                  <a:pt x="499872" y="76200"/>
                                </a:lnTo>
                                <a:lnTo>
                                  <a:pt x="499872" y="42672"/>
                                </a:lnTo>
                                <a:lnTo>
                                  <a:pt x="4572" y="42672"/>
                                </a:lnTo>
                                <a:lnTo>
                                  <a:pt x="1524" y="41148"/>
                                </a:lnTo>
                                <a:lnTo>
                                  <a:pt x="0" y="38100"/>
                                </a:lnTo>
                                <a:lnTo>
                                  <a:pt x="1524" y="34290"/>
                                </a:lnTo>
                                <a:lnTo>
                                  <a:pt x="4572" y="32766"/>
                                </a:lnTo>
                                <a:lnTo>
                                  <a:pt x="499872" y="32766"/>
                                </a:lnTo>
                                <a:lnTo>
                                  <a:pt x="4998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3" name="Shape 1173"/>
                        <wps:cNvSpPr/>
                        <wps:spPr>
                          <a:xfrm>
                            <a:off x="0" y="825246"/>
                            <a:ext cx="576072" cy="76200"/>
                          </a:xfrm>
                          <a:custGeom>
                            <a:avLst/>
                            <a:gdLst/>
                            <a:ahLst/>
                            <a:cxnLst/>
                            <a:rect l="0" t="0" r="0" b="0"/>
                            <a:pathLst>
                              <a:path w="576072" h="76200">
                                <a:moveTo>
                                  <a:pt x="499872" y="0"/>
                                </a:moveTo>
                                <a:lnTo>
                                  <a:pt x="576072" y="38100"/>
                                </a:lnTo>
                                <a:lnTo>
                                  <a:pt x="499872" y="76200"/>
                                </a:lnTo>
                                <a:lnTo>
                                  <a:pt x="499872" y="43434"/>
                                </a:lnTo>
                                <a:lnTo>
                                  <a:pt x="4572" y="43434"/>
                                </a:lnTo>
                                <a:lnTo>
                                  <a:pt x="1524" y="41910"/>
                                </a:lnTo>
                                <a:lnTo>
                                  <a:pt x="0" y="38100"/>
                                </a:lnTo>
                                <a:lnTo>
                                  <a:pt x="1524" y="35052"/>
                                </a:lnTo>
                                <a:lnTo>
                                  <a:pt x="4572" y="33528"/>
                                </a:lnTo>
                                <a:lnTo>
                                  <a:pt x="499872" y="33528"/>
                                </a:lnTo>
                                <a:lnTo>
                                  <a:pt x="4998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0691" style="width:45.9pt;height:70.98pt;position:absolute;mso-position-horizontal-relative:text;mso-position-horizontal:absolute;margin-left:194.042pt;mso-position-vertical-relative:text;margin-top:-3.48865pt;" coordsize="5829,9014">
                <v:shape id="Shape 1171" style="position:absolute;width:5760;height:762;left:0;top:0;" coordsize="576072,76200" path="m499872,0l576072,38100l499872,76200l499872,42672l4572,42672l1524,41910l0,38100l1524,35052l4572,33528l499872,33528l499872,0x">
                  <v:stroke weight="0pt" endcap="flat" joinstyle="miter" miterlimit="10" on="false" color="#000000" opacity="0"/>
                  <v:fill on="true" color="#000000"/>
                </v:shape>
                <v:shape id="Shape 1172" style="position:absolute;width:5760;height:762;left:68;top:4175;" coordsize="576072,76200" path="m499872,0l576072,38100l499872,76200l499872,42672l4572,42672l1524,41148l0,38100l1524,34290l4572,32766l499872,32766l499872,0x">
                  <v:stroke weight="0pt" endcap="flat" joinstyle="miter" miterlimit="10" on="false" color="#000000" opacity="0"/>
                  <v:fill on="true" color="#000000"/>
                </v:shape>
                <v:shape id="Shape 1173" style="position:absolute;width:5760;height:762;left:0;top:8252;" coordsize="576072,76200" path="m499872,0l576072,38100l499872,76200l499872,43434l4572,43434l1524,41910l0,38100l1524,35052l4572,33528l499872,33528l499872,0x">
                  <v:stroke weight="0pt" endcap="flat" joinstyle="miter" miterlimit="10" on="false" color="#000000" opacity="0"/>
                  <v:fill on="true" color="#000000"/>
                </v:shape>
                <w10:wrap type="square"/>
              </v:group>
            </w:pict>
          </mc:Fallback>
        </mc:AlternateContent>
      </w:r>
      <w:r>
        <w:t xml:space="preserve">Identifiable parent corporation </w:t>
      </w:r>
    </w:p>
    <w:p w:rsidR="00D0456E" w:rsidRDefault="00927C2A">
      <w:pPr>
        <w:numPr>
          <w:ilvl w:val="1"/>
          <w:numId w:val="5"/>
        </w:numPr>
        <w:ind w:right="43" w:hanging="360"/>
      </w:pPr>
      <w:r>
        <w:t xml:space="preserve">Eligible corporation to join Statutory definitions consolidated group </w:t>
      </w:r>
    </w:p>
    <w:p w:rsidR="00D0456E" w:rsidRDefault="00927C2A">
      <w:pPr>
        <w:spacing w:after="0" w:line="259" w:lineRule="auto"/>
        <w:ind w:left="1080" w:right="5161" w:firstLine="0"/>
        <w:jc w:val="left"/>
      </w:pPr>
      <w:r>
        <w:t xml:space="preserve"> </w:t>
      </w:r>
    </w:p>
    <w:p w:rsidR="00D0456E" w:rsidRDefault="00927C2A">
      <w:pPr>
        <w:numPr>
          <w:ilvl w:val="1"/>
          <w:numId w:val="5"/>
        </w:numPr>
        <w:ind w:right="43" w:hanging="360"/>
      </w:pPr>
      <w:r>
        <w:t>Compliance requirementsForms 851, 1122</w:t>
      </w:r>
    </w:p>
    <w:p w:rsidR="00D0456E" w:rsidRDefault="00927C2A">
      <w:pPr>
        <w:ind w:left="5158" w:right="43"/>
      </w:pPr>
      <w:r>
        <w:t xml:space="preserve">Conformity to parent’s tax year </w:t>
      </w:r>
    </w:p>
    <w:p w:rsidR="00D0456E" w:rsidRDefault="00927C2A">
      <w:pPr>
        <w:spacing w:after="0" w:line="259" w:lineRule="auto"/>
        <w:ind w:left="562" w:firstLine="0"/>
        <w:jc w:val="left"/>
      </w:pPr>
      <w:r>
        <w:t xml:space="preserve"> </w:t>
      </w:r>
    </w:p>
    <w:p w:rsidR="00D0456E" w:rsidRDefault="00927C2A">
      <w:pPr>
        <w:numPr>
          <w:ilvl w:val="0"/>
          <w:numId w:val="5"/>
        </w:numPr>
        <w:spacing w:after="188"/>
        <w:ind w:right="43" w:hanging="720"/>
      </w:pPr>
      <w:r>
        <w:t xml:space="preserve">(LO 3, 10) Pertinent tax issues include the following. </w:t>
      </w:r>
    </w:p>
    <w:p w:rsidR="00D0456E" w:rsidRDefault="00927C2A">
      <w:pPr>
        <w:numPr>
          <w:ilvl w:val="1"/>
          <w:numId w:val="5"/>
        </w:numPr>
        <w:spacing w:after="147"/>
        <w:ind w:right="43" w:hanging="360"/>
      </w:pPr>
      <w:r>
        <w:t xml:space="preserve">How accurate are the income and loss projections of the group members? </w:t>
      </w:r>
    </w:p>
    <w:p w:rsidR="00D0456E" w:rsidRDefault="00927C2A">
      <w:pPr>
        <w:numPr>
          <w:ilvl w:val="1"/>
          <w:numId w:val="5"/>
        </w:numPr>
        <w:spacing w:after="148"/>
        <w:ind w:right="43" w:hanging="360"/>
      </w:pPr>
      <w:r>
        <w:t>Will Black’s NOLs be available for deduction against f</w:t>
      </w:r>
      <w:r>
        <w:t xml:space="preserve">uture group taxable income? </w:t>
      </w:r>
    </w:p>
    <w:p w:rsidR="00D0456E" w:rsidRDefault="00927C2A">
      <w:pPr>
        <w:numPr>
          <w:ilvl w:val="1"/>
          <w:numId w:val="5"/>
        </w:numPr>
        <w:spacing w:after="187"/>
        <w:ind w:right="43" w:hanging="360"/>
      </w:pPr>
      <w:r>
        <w:t xml:space="preserve">Will Black’s NOLs be available for immediate carryback, producing a tax refund in the near future? </w:t>
      </w:r>
    </w:p>
    <w:p w:rsidR="00D0456E" w:rsidRDefault="00927C2A">
      <w:pPr>
        <w:numPr>
          <w:ilvl w:val="1"/>
          <w:numId w:val="5"/>
        </w:numPr>
        <w:spacing w:after="147"/>
        <w:ind w:right="43" w:hanging="360"/>
      </w:pPr>
      <w:r>
        <w:t xml:space="preserve">Will Red produce net taxable income at levels that will accelerate the use of Black’s NOLs? </w:t>
      </w:r>
    </w:p>
    <w:p w:rsidR="00D0456E" w:rsidRDefault="00927C2A">
      <w:pPr>
        <w:numPr>
          <w:ilvl w:val="1"/>
          <w:numId w:val="5"/>
        </w:numPr>
        <w:spacing w:after="147"/>
        <w:ind w:right="43" w:hanging="360"/>
      </w:pPr>
      <w:r>
        <w:t>Will Red begin to produce new NOLs</w:t>
      </w:r>
      <w:r>
        <w:t xml:space="preserve"> in the future? </w:t>
      </w:r>
    </w:p>
    <w:p w:rsidR="00D0456E" w:rsidRDefault="00927C2A">
      <w:pPr>
        <w:numPr>
          <w:ilvl w:val="1"/>
          <w:numId w:val="5"/>
        </w:numPr>
        <w:ind w:right="43" w:hanging="360"/>
      </w:pPr>
      <w:r>
        <w:t xml:space="preserve">Will Red’s new NOLs be deductible against group taxable income? </w:t>
      </w:r>
      <w:r>
        <w:tab/>
        <w:t xml:space="preserve"> </w:t>
      </w:r>
    </w:p>
    <w:p w:rsidR="00D0456E" w:rsidRDefault="00927C2A">
      <w:pPr>
        <w:numPr>
          <w:ilvl w:val="0"/>
          <w:numId w:val="5"/>
        </w:numPr>
        <w:spacing w:after="297"/>
        <w:ind w:right="43" w:hanging="720"/>
      </w:pPr>
      <w:r>
        <w:t xml:space="preserve">(LO 3, 10) Additional pertinent tax issues include the following. </w:t>
      </w:r>
    </w:p>
    <w:p w:rsidR="00D0456E" w:rsidRDefault="00927C2A">
      <w:pPr>
        <w:numPr>
          <w:ilvl w:val="1"/>
          <w:numId w:val="5"/>
        </w:numPr>
        <w:spacing w:after="256"/>
        <w:ind w:right="43" w:hanging="360"/>
      </w:pPr>
      <w:r>
        <w:t xml:space="preserve">How will the group charitable contribution deduction be computed in the future? </w:t>
      </w:r>
    </w:p>
    <w:p w:rsidR="00D0456E" w:rsidRDefault="00927C2A">
      <w:pPr>
        <w:numPr>
          <w:ilvl w:val="1"/>
          <w:numId w:val="5"/>
        </w:numPr>
        <w:spacing w:after="294"/>
        <w:ind w:right="43" w:hanging="360"/>
      </w:pPr>
      <w:r>
        <w:t xml:space="preserve">Will all of Brown’s charitable gifts be deductible against group taxable income (i.e., considering the 10% floor on a group basis)? </w:t>
      </w:r>
    </w:p>
    <w:p w:rsidR="00D0456E" w:rsidRDefault="00927C2A">
      <w:pPr>
        <w:numPr>
          <w:ilvl w:val="1"/>
          <w:numId w:val="5"/>
        </w:numPr>
        <w:spacing w:after="256"/>
        <w:ind w:right="43" w:hanging="360"/>
      </w:pPr>
      <w:r>
        <w:t xml:space="preserve">How will the group’s § 1231 gain or loss be computed in the future? </w:t>
      </w:r>
    </w:p>
    <w:p w:rsidR="00D0456E" w:rsidRDefault="00927C2A">
      <w:pPr>
        <w:numPr>
          <w:ilvl w:val="1"/>
          <w:numId w:val="5"/>
        </w:numPr>
        <w:ind w:right="43" w:hanging="360"/>
      </w:pPr>
      <w:r>
        <w:t>How will Brown’s realized gain and loss affect the gro</w:t>
      </w:r>
      <w:r>
        <w:t xml:space="preserve">up’s § 1231 netting and computation in the future? </w:t>
      </w:r>
    </w:p>
    <w:p w:rsidR="00D0456E" w:rsidRDefault="00927C2A">
      <w:pPr>
        <w:spacing w:after="0" w:line="259" w:lineRule="auto"/>
        <w:ind w:left="720" w:firstLine="0"/>
        <w:jc w:val="left"/>
      </w:pPr>
      <w:r>
        <w:t xml:space="preserve"> </w:t>
      </w:r>
    </w:p>
    <w:p w:rsidR="00D0456E" w:rsidRDefault="00927C2A">
      <w:pPr>
        <w:numPr>
          <w:ilvl w:val="0"/>
          <w:numId w:val="5"/>
        </w:numPr>
        <w:spacing w:after="211"/>
        <w:ind w:right="43" w:hanging="720"/>
      </w:pPr>
      <w:r>
        <w:t xml:space="preserve">(LO 3, 9, 10) Finding good consolidated return partners often means that contrary tax effects are matched together, resulting in a lower total Federal income tax.  </w:t>
      </w:r>
    </w:p>
    <w:p w:rsidR="00D0456E" w:rsidRDefault="00927C2A">
      <w:pPr>
        <w:numPr>
          <w:ilvl w:val="1"/>
          <w:numId w:val="6"/>
        </w:numPr>
        <w:spacing w:after="192"/>
        <w:ind w:left="1074" w:right="43" w:hanging="721"/>
      </w:pPr>
      <w:r>
        <w:t>Probably a good match. Intercompany g</w:t>
      </w:r>
      <w:r>
        <w:t xml:space="preserve">ains are deferred until a sale is made to a taxpayer outside of the consolidated group. </w:t>
      </w:r>
    </w:p>
    <w:p w:rsidR="00D0456E" w:rsidRDefault="00927C2A">
      <w:pPr>
        <w:numPr>
          <w:ilvl w:val="1"/>
          <w:numId w:val="6"/>
        </w:numPr>
        <w:spacing w:after="192"/>
        <w:ind w:left="1074" w:right="43" w:hanging="721"/>
      </w:pPr>
      <w:r>
        <w:t xml:space="preserve">Probably not a good match. The parties want to accelerate recognition of the realized losses, and consolidation results in the deferral of those losses. </w:t>
      </w:r>
    </w:p>
    <w:p w:rsidR="00D0456E" w:rsidRDefault="00927C2A">
      <w:pPr>
        <w:numPr>
          <w:ilvl w:val="1"/>
          <w:numId w:val="6"/>
        </w:numPr>
        <w:spacing w:after="232"/>
        <w:ind w:left="1074" w:right="43" w:hanging="721"/>
      </w:pPr>
      <w:r>
        <w:t>No effect. Ta</w:t>
      </w:r>
      <w:r>
        <w:t xml:space="preserve">x return elections made by the parent of a consolidated group can differ from those made by other members of the filing group for the tax year. </w:t>
      </w:r>
    </w:p>
    <w:p w:rsidR="00D0456E" w:rsidRDefault="00927C2A">
      <w:pPr>
        <w:numPr>
          <w:ilvl w:val="1"/>
          <w:numId w:val="6"/>
        </w:numPr>
        <w:spacing w:after="258"/>
        <w:ind w:left="1074" w:right="43" w:hanging="721"/>
      </w:pPr>
      <w:r>
        <w:t>Probably not a good match. SubTwo must convert to a calendar tax year upon joining the ParentCo consolidated gr</w:t>
      </w:r>
      <w:r>
        <w:t xml:space="preserve">oup, and this may result for the group in a bunching of more than twelve months of taxable income into the calendar year of the election. </w:t>
      </w:r>
    </w:p>
    <w:p w:rsidR="00D0456E" w:rsidRDefault="00927C2A">
      <w:pPr>
        <w:numPr>
          <w:ilvl w:val="0"/>
          <w:numId w:val="5"/>
        </w:numPr>
        <w:spacing w:after="210"/>
        <w:ind w:right="43" w:hanging="720"/>
      </w:pPr>
      <w:r>
        <w:t>(LO 3, 5, 10) Finding good consolidated return partners often, but not always, means that contrary tax effects are ma</w:t>
      </w:r>
      <w:r>
        <w:t xml:space="preserve">tched together, resulting in a lower total Federal income tax.   </w:t>
      </w:r>
    </w:p>
    <w:p w:rsidR="00D0456E" w:rsidRDefault="00927C2A">
      <w:pPr>
        <w:numPr>
          <w:ilvl w:val="1"/>
          <w:numId w:val="7"/>
        </w:numPr>
        <w:spacing w:after="192"/>
        <w:ind w:right="43" w:hanging="720"/>
      </w:pPr>
      <w:r>
        <w:t>Perhaps not a good match. The election to consolidate cannot be “turned on and off.” The election is binding on all future tax years, and this may not be a desirable result if both affiliates generate a positive taxable income. If an election is made and a</w:t>
      </w:r>
      <w:r>
        <w:t xml:space="preserve">pproved to “deconsolidate,” the same group cannot re-elect consolidated status for five years. </w:t>
      </w:r>
    </w:p>
    <w:p w:rsidR="00D0456E" w:rsidRDefault="00927C2A">
      <w:pPr>
        <w:numPr>
          <w:ilvl w:val="1"/>
          <w:numId w:val="7"/>
        </w:numPr>
        <w:spacing w:after="192"/>
        <w:ind w:right="43" w:hanging="720"/>
      </w:pPr>
      <w:r>
        <w:t xml:space="preserve">Probably a good match, depending on the current marginal tax rates of the group members. If consolidation occurs, ShortCo’s foreign-source income could be used </w:t>
      </w:r>
      <w:r>
        <w:t xml:space="preserve">to free up the foreign tax credit carryforwards, resulting in immediate tax reductions. But also consider the currentyear effects on new foreign tax liabilities. </w:t>
      </w:r>
    </w:p>
    <w:p w:rsidR="00D0456E" w:rsidRDefault="00927C2A">
      <w:pPr>
        <w:numPr>
          <w:ilvl w:val="1"/>
          <w:numId w:val="7"/>
        </w:numPr>
        <w:spacing w:after="192"/>
        <w:ind w:right="43" w:hanging="720"/>
      </w:pPr>
      <w:r>
        <w:t xml:space="preserve">Probably not a good match. An attractive consolidated return partner would allow ParentCo to </w:t>
      </w:r>
      <w:r>
        <w:t>shelter some of its Federal taxable income, and Small will produce such losses for only one tax year. Moreover, after a de-consolidation, the group probably could not re-elect to form a group again for five tax years, so planning flexibility would be lost.</w:t>
      </w:r>
      <w:r>
        <w:t xml:space="preserve"> </w:t>
      </w:r>
    </w:p>
    <w:p w:rsidR="00D0456E" w:rsidRDefault="00927C2A">
      <w:pPr>
        <w:numPr>
          <w:ilvl w:val="1"/>
          <w:numId w:val="7"/>
        </w:numPr>
        <w:spacing w:after="218"/>
        <w:ind w:right="43" w:hanging="720"/>
      </w:pPr>
      <w:r>
        <w:t>Probably not a good match, for purposes only of the charitable gift deduction. The consolidated ceiling on charitable contribution deductions will be lower than that of the unaffiliated parent, so some of the charitable gift deduction may be suspended an</w:t>
      </w:r>
      <w:r>
        <w:t xml:space="preserve">d carried forward. </w:t>
      </w:r>
    </w:p>
    <w:p w:rsidR="00D0456E" w:rsidRDefault="00927C2A">
      <w:pPr>
        <w:spacing w:after="0" w:line="259" w:lineRule="auto"/>
        <w:ind w:left="0" w:firstLine="0"/>
        <w:jc w:val="left"/>
      </w:pPr>
      <w:r>
        <w:t xml:space="preserve"> </w:t>
      </w:r>
      <w:r>
        <w:tab/>
        <w:t xml:space="preserve"> </w:t>
      </w:r>
    </w:p>
    <w:p w:rsidR="00D0456E" w:rsidRDefault="00927C2A">
      <w:pPr>
        <w:numPr>
          <w:ilvl w:val="0"/>
          <w:numId w:val="5"/>
        </w:numPr>
        <w:ind w:right="43" w:hanging="720"/>
      </w:pPr>
      <w:r>
        <w:t xml:space="preserve">(LO 4) The consolidated return rules generally produce these results. </w:t>
      </w:r>
    </w:p>
    <w:p w:rsidR="00D0456E" w:rsidRDefault="00927C2A">
      <w:pPr>
        <w:spacing w:after="0" w:line="259" w:lineRule="auto"/>
        <w:ind w:left="0" w:firstLine="0"/>
        <w:jc w:val="left"/>
      </w:pPr>
      <w:r>
        <w:t xml:space="preserve"> </w:t>
      </w:r>
    </w:p>
    <w:tbl>
      <w:tblPr>
        <w:tblStyle w:val="TableGrid"/>
        <w:tblW w:w="8330" w:type="dxa"/>
        <w:tblInd w:w="706" w:type="dxa"/>
        <w:tblCellMar>
          <w:top w:w="2" w:type="dxa"/>
          <w:left w:w="0" w:type="dxa"/>
          <w:bottom w:w="0" w:type="dxa"/>
          <w:right w:w="84" w:type="dxa"/>
        </w:tblCellMar>
        <w:tblLook w:val="04A0" w:firstRow="1" w:lastRow="0" w:firstColumn="1" w:lastColumn="0" w:noHBand="0" w:noVBand="1"/>
      </w:tblPr>
      <w:tblGrid>
        <w:gridCol w:w="2724"/>
        <w:gridCol w:w="2258"/>
        <w:gridCol w:w="3348"/>
      </w:tblGrid>
      <w:tr w:rsidR="00D0456E">
        <w:trPr>
          <w:trHeight w:val="611"/>
        </w:trPr>
        <w:tc>
          <w:tcPr>
            <w:tcW w:w="2724" w:type="dxa"/>
            <w:tcBorders>
              <w:top w:val="single" w:sz="4" w:space="0" w:color="000000"/>
              <w:left w:val="nil"/>
              <w:bottom w:val="single" w:sz="4" w:space="0" w:color="000000"/>
              <w:right w:val="nil"/>
            </w:tcBorders>
          </w:tcPr>
          <w:p w:rsidR="00D0456E" w:rsidRDefault="00927C2A">
            <w:pPr>
              <w:spacing w:after="25" w:line="259" w:lineRule="auto"/>
              <w:ind w:left="122" w:firstLine="0"/>
              <w:jc w:val="left"/>
            </w:pPr>
            <w:r>
              <w:rPr>
                <w:b/>
              </w:rPr>
              <w:t xml:space="preserve"> </w:t>
            </w:r>
          </w:p>
          <w:p w:rsidR="00D0456E" w:rsidRDefault="00927C2A">
            <w:pPr>
              <w:spacing w:after="0" w:line="259" w:lineRule="auto"/>
              <w:ind w:left="122" w:firstLine="0"/>
              <w:jc w:val="left"/>
            </w:pPr>
            <w:r>
              <w:rPr>
                <w:b/>
              </w:rPr>
              <w:t xml:space="preserve">      Group of Entities </w:t>
            </w:r>
          </w:p>
        </w:tc>
        <w:tc>
          <w:tcPr>
            <w:tcW w:w="2258" w:type="dxa"/>
            <w:tcBorders>
              <w:top w:val="single" w:sz="4" w:space="0" w:color="000000"/>
              <w:left w:val="nil"/>
              <w:bottom w:val="single" w:sz="4" w:space="0" w:color="000000"/>
              <w:right w:val="nil"/>
            </w:tcBorders>
          </w:tcPr>
          <w:p w:rsidR="00D0456E" w:rsidRDefault="00927C2A">
            <w:pPr>
              <w:spacing w:after="0" w:line="259" w:lineRule="auto"/>
              <w:ind w:left="220" w:firstLine="0"/>
              <w:jc w:val="left"/>
            </w:pPr>
            <w:r>
              <w:rPr>
                <w:b/>
              </w:rPr>
              <w:t xml:space="preserve">Eligible to Join a </w:t>
            </w:r>
          </w:p>
          <w:p w:rsidR="00D0456E" w:rsidRDefault="00927C2A">
            <w:pPr>
              <w:spacing w:after="0" w:line="259" w:lineRule="auto"/>
              <w:ind w:left="0" w:firstLine="0"/>
              <w:jc w:val="left"/>
            </w:pPr>
            <w:r>
              <w:rPr>
                <w:b/>
              </w:rPr>
              <w:t xml:space="preserve">Consolidated Group? </w:t>
            </w:r>
          </w:p>
        </w:tc>
        <w:tc>
          <w:tcPr>
            <w:tcW w:w="3348" w:type="dxa"/>
            <w:tcBorders>
              <w:top w:val="single" w:sz="4" w:space="0" w:color="000000"/>
              <w:left w:val="nil"/>
              <w:bottom w:val="single" w:sz="4" w:space="0" w:color="000000"/>
              <w:right w:val="nil"/>
            </w:tcBorders>
          </w:tcPr>
          <w:p w:rsidR="00D0456E" w:rsidRDefault="00927C2A">
            <w:pPr>
              <w:spacing w:after="0" w:line="259" w:lineRule="auto"/>
              <w:ind w:left="0" w:firstLine="0"/>
              <w:jc w:val="left"/>
            </w:pPr>
            <w:r>
              <w:rPr>
                <w:b/>
              </w:rPr>
              <w:t xml:space="preserve"> </w:t>
            </w:r>
          </w:p>
          <w:p w:rsidR="00D0456E" w:rsidRDefault="00927C2A">
            <w:pPr>
              <w:spacing w:after="0" w:line="259" w:lineRule="auto"/>
              <w:ind w:left="0" w:firstLine="0"/>
              <w:jc w:val="left"/>
            </w:pPr>
            <w:r>
              <w:rPr>
                <w:b/>
              </w:rPr>
              <w:t xml:space="preserve">Why Not Eligible? </w:t>
            </w:r>
          </w:p>
        </w:tc>
      </w:tr>
      <w:tr w:rsidR="00D0456E">
        <w:trPr>
          <w:trHeight w:val="684"/>
        </w:trPr>
        <w:tc>
          <w:tcPr>
            <w:tcW w:w="2724" w:type="dxa"/>
            <w:tcBorders>
              <w:top w:val="single" w:sz="4" w:space="0" w:color="000000"/>
              <w:left w:val="nil"/>
              <w:bottom w:val="nil"/>
              <w:right w:val="nil"/>
            </w:tcBorders>
          </w:tcPr>
          <w:p w:rsidR="00D0456E" w:rsidRDefault="00927C2A">
            <w:pPr>
              <w:spacing w:after="0" w:line="259" w:lineRule="auto"/>
              <w:ind w:left="122" w:firstLine="0"/>
              <w:jc w:val="left"/>
            </w:pPr>
            <w:r>
              <w:t xml:space="preserve">a. </w:t>
            </w:r>
            <w:r>
              <w:tab/>
              <w:t xml:space="preserve">Lima City Choral  </w:t>
            </w:r>
            <w:r>
              <w:tab/>
              <w:t xml:space="preserve">Artists Co-op </w:t>
            </w:r>
          </w:p>
        </w:tc>
        <w:tc>
          <w:tcPr>
            <w:tcW w:w="2258" w:type="dxa"/>
            <w:tcBorders>
              <w:top w:val="single" w:sz="4" w:space="0" w:color="000000"/>
              <w:left w:val="nil"/>
              <w:bottom w:val="nil"/>
              <w:right w:val="nil"/>
            </w:tcBorders>
          </w:tcPr>
          <w:p w:rsidR="00D0456E" w:rsidRDefault="00927C2A">
            <w:pPr>
              <w:spacing w:after="0" w:line="259" w:lineRule="auto"/>
              <w:ind w:left="0" w:right="151" w:firstLine="0"/>
              <w:jc w:val="center"/>
            </w:pPr>
            <w:r>
              <w:t xml:space="preserve">No </w:t>
            </w:r>
          </w:p>
        </w:tc>
        <w:tc>
          <w:tcPr>
            <w:tcW w:w="3348" w:type="dxa"/>
            <w:tcBorders>
              <w:top w:val="single" w:sz="4" w:space="0" w:color="000000"/>
              <w:left w:val="nil"/>
              <w:bottom w:val="nil"/>
              <w:right w:val="nil"/>
            </w:tcBorders>
          </w:tcPr>
          <w:p w:rsidR="00D0456E" w:rsidRDefault="00927C2A">
            <w:pPr>
              <w:spacing w:after="0" w:line="259" w:lineRule="auto"/>
              <w:ind w:left="0" w:firstLine="0"/>
              <w:jc w:val="left"/>
            </w:pPr>
            <w:r>
              <w:t xml:space="preserve">Exempt entities are ineligible to join a consolidated group </w:t>
            </w:r>
          </w:p>
        </w:tc>
      </w:tr>
      <w:tr w:rsidR="00D0456E">
        <w:trPr>
          <w:trHeight w:val="600"/>
        </w:trPr>
        <w:tc>
          <w:tcPr>
            <w:tcW w:w="2724" w:type="dxa"/>
            <w:tcBorders>
              <w:top w:val="nil"/>
              <w:left w:val="nil"/>
              <w:bottom w:val="nil"/>
              <w:right w:val="nil"/>
            </w:tcBorders>
          </w:tcPr>
          <w:p w:rsidR="00D0456E" w:rsidRDefault="00927C2A">
            <w:pPr>
              <w:spacing w:after="0" w:line="259" w:lineRule="auto"/>
              <w:ind w:left="122" w:firstLine="0"/>
              <w:jc w:val="left"/>
            </w:pPr>
            <w:r>
              <w:t xml:space="preserve">b. Columbus United </w:t>
            </w:r>
          </w:p>
          <w:p w:rsidR="00D0456E" w:rsidRDefault="00927C2A">
            <w:pPr>
              <w:spacing w:after="0" w:line="259" w:lineRule="auto"/>
              <w:ind w:left="482" w:firstLine="0"/>
              <w:jc w:val="left"/>
            </w:pPr>
            <w:r>
              <w:t>Health Insurance, Ltd.</w:t>
            </w:r>
          </w:p>
        </w:tc>
        <w:tc>
          <w:tcPr>
            <w:tcW w:w="2258" w:type="dxa"/>
            <w:tcBorders>
              <w:top w:val="nil"/>
              <w:left w:val="nil"/>
              <w:bottom w:val="nil"/>
              <w:right w:val="nil"/>
            </w:tcBorders>
          </w:tcPr>
          <w:p w:rsidR="00D0456E" w:rsidRDefault="00927C2A">
            <w:pPr>
              <w:spacing w:after="0" w:line="259" w:lineRule="auto"/>
              <w:ind w:left="0" w:right="152" w:firstLine="0"/>
              <w:jc w:val="center"/>
            </w:pPr>
            <w:r>
              <w:t xml:space="preserve">No </w:t>
            </w:r>
          </w:p>
        </w:tc>
        <w:tc>
          <w:tcPr>
            <w:tcW w:w="3348" w:type="dxa"/>
            <w:tcBorders>
              <w:top w:val="nil"/>
              <w:left w:val="nil"/>
              <w:bottom w:val="nil"/>
              <w:right w:val="nil"/>
            </w:tcBorders>
          </w:tcPr>
          <w:p w:rsidR="00D0456E" w:rsidRDefault="00927C2A">
            <w:pPr>
              <w:spacing w:after="0" w:line="259" w:lineRule="auto"/>
              <w:ind w:left="0" w:firstLine="0"/>
              <w:jc w:val="left"/>
            </w:pPr>
            <w:r>
              <w:t>Insurance companies are ineligible to join a consolidated group</w:t>
            </w:r>
          </w:p>
        </w:tc>
      </w:tr>
      <w:tr w:rsidR="00D0456E">
        <w:trPr>
          <w:trHeight w:val="1200"/>
        </w:trPr>
        <w:tc>
          <w:tcPr>
            <w:tcW w:w="2724" w:type="dxa"/>
            <w:tcBorders>
              <w:top w:val="nil"/>
              <w:left w:val="nil"/>
              <w:bottom w:val="nil"/>
              <w:right w:val="nil"/>
            </w:tcBorders>
          </w:tcPr>
          <w:p w:rsidR="00D0456E" w:rsidRDefault="00927C2A">
            <w:pPr>
              <w:numPr>
                <w:ilvl w:val="0"/>
                <w:numId w:val="23"/>
              </w:numPr>
              <w:spacing w:after="85" w:line="259" w:lineRule="auto"/>
              <w:ind w:left="477" w:hanging="355"/>
              <w:jc w:val="left"/>
            </w:pPr>
            <w:r>
              <w:t xml:space="preserve">Bethke Services, Inc. </w:t>
            </w:r>
          </w:p>
          <w:p w:rsidR="00D0456E" w:rsidRDefault="00927C2A">
            <w:pPr>
              <w:numPr>
                <w:ilvl w:val="0"/>
                <w:numId w:val="23"/>
              </w:numPr>
              <w:spacing w:after="0" w:line="226" w:lineRule="auto"/>
              <w:ind w:left="477" w:hanging="355"/>
              <w:jc w:val="left"/>
            </w:pPr>
            <w:r>
              <w:t xml:space="preserve">Tequila Telefono, organized in El </w:t>
            </w:r>
          </w:p>
          <w:p w:rsidR="00D0456E" w:rsidRDefault="00927C2A">
            <w:pPr>
              <w:spacing w:after="0" w:line="259" w:lineRule="auto"/>
              <w:ind w:left="482" w:firstLine="0"/>
              <w:jc w:val="left"/>
            </w:pPr>
            <w:r>
              <w:t xml:space="preserve">Salvador </w:t>
            </w:r>
          </w:p>
        </w:tc>
        <w:tc>
          <w:tcPr>
            <w:tcW w:w="2258" w:type="dxa"/>
            <w:tcBorders>
              <w:top w:val="nil"/>
              <w:left w:val="nil"/>
              <w:bottom w:val="nil"/>
              <w:right w:val="nil"/>
            </w:tcBorders>
          </w:tcPr>
          <w:p w:rsidR="00D0456E" w:rsidRDefault="00927C2A">
            <w:pPr>
              <w:spacing w:after="85" w:line="259" w:lineRule="auto"/>
              <w:ind w:left="0" w:right="151" w:firstLine="0"/>
              <w:jc w:val="center"/>
            </w:pPr>
            <w:r>
              <w:t xml:space="preserve">Yes </w:t>
            </w:r>
          </w:p>
          <w:p w:rsidR="00D0456E" w:rsidRDefault="00927C2A">
            <w:pPr>
              <w:spacing w:after="0" w:line="259" w:lineRule="auto"/>
              <w:ind w:left="0" w:right="151" w:firstLine="0"/>
              <w:jc w:val="center"/>
            </w:pPr>
            <w:r>
              <w:t xml:space="preserve">No </w:t>
            </w:r>
          </w:p>
        </w:tc>
        <w:tc>
          <w:tcPr>
            <w:tcW w:w="3348" w:type="dxa"/>
            <w:tcBorders>
              <w:top w:val="nil"/>
              <w:left w:val="nil"/>
              <w:bottom w:val="nil"/>
              <w:right w:val="nil"/>
            </w:tcBorders>
          </w:tcPr>
          <w:p w:rsidR="00D0456E" w:rsidRDefault="00927C2A">
            <w:pPr>
              <w:spacing w:after="85" w:line="259" w:lineRule="auto"/>
              <w:ind w:left="0" w:firstLine="0"/>
              <w:jc w:val="left"/>
            </w:pPr>
            <w:r>
              <w:t xml:space="preserve"> </w:t>
            </w:r>
          </w:p>
          <w:p w:rsidR="00D0456E" w:rsidRDefault="00927C2A">
            <w:pPr>
              <w:spacing w:after="0" w:line="259" w:lineRule="auto"/>
              <w:ind w:left="0" w:firstLine="0"/>
              <w:jc w:val="left"/>
            </w:pPr>
            <w:r>
              <w:t xml:space="preserve">Non-U.S. entities are ineligible to join a consolidated group </w:t>
            </w:r>
          </w:p>
        </w:tc>
      </w:tr>
      <w:tr w:rsidR="00D0456E">
        <w:trPr>
          <w:trHeight w:val="900"/>
        </w:trPr>
        <w:tc>
          <w:tcPr>
            <w:tcW w:w="2724" w:type="dxa"/>
            <w:tcBorders>
              <w:top w:val="nil"/>
              <w:left w:val="nil"/>
              <w:bottom w:val="nil"/>
              <w:right w:val="nil"/>
            </w:tcBorders>
          </w:tcPr>
          <w:p w:rsidR="00D0456E" w:rsidRDefault="00927C2A">
            <w:pPr>
              <w:spacing w:after="0" w:line="259" w:lineRule="auto"/>
              <w:ind w:left="482" w:hanging="360"/>
              <w:jc w:val="left"/>
            </w:pPr>
            <w:r>
              <w:t xml:space="preserve">e. Vermont, South Carolina, and Utah Barber Shops, Inc. </w:t>
            </w:r>
          </w:p>
        </w:tc>
        <w:tc>
          <w:tcPr>
            <w:tcW w:w="2258" w:type="dxa"/>
            <w:tcBorders>
              <w:top w:val="nil"/>
              <w:left w:val="nil"/>
              <w:bottom w:val="nil"/>
              <w:right w:val="nil"/>
            </w:tcBorders>
          </w:tcPr>
          <w:p w:rsidR="00D0456E" w:rsidRDefault="00927C2A">
            <w:pPr>
              <w:spacing w:after="0" w:line="259" w:lineRule="auto"/>
              <w:ind w:left="0" w:right="151" w:firstLine="0"/>
              <w:jc w:val="center"/>
            </w:pPr>
            <w:r>
              <w:t xml:space="preserve">Yes </w:t>
            </w:r>
          </w:p>
        </w:tc>
        <w:tc>
          <w:tcPr>
            <w:tcW w:w="3348" w:type="dxa"/>
            <w:tcBorders>
              <w:top w:val="nil"/>
              <w:left w:val="nil"/>
              <w:bottom w:val="nil"/>
              <w:right w:val="nil"/>
            </w:tcBorders>
          </w:tcPr>
          <w:p w:rsidR="00D0456E" w:rsidRDefault="00927C2A">
            <w:pPr>
              <w:spacing w:after="0" w:line="259" w:lineRule="auto"/>
              <w:ind w:left="0" w:firstLine="0"/>
              <w:jc w:val="left"/>
            </w:pPr>
            <w:r>
              <w:t xml:space="preserve"> </w:t>
            </w:r>
          </w:p>
        </w:tc>
      </w:tr>
      <w:tr w:rsidR="00D0456E">
        <w:trPr>
          <w:trHeight w:val="660"/>
        </w:trPr>
        <w:tc>
          <w:tcPr>
            <w:tcW w:w="2724" w:type="dxa"/>
            <w:tcBorders>
              <w:top w:val="nil"/>
              <w:left w:val="nil"/>
              <w:bottom w:val="nil"/>
              <w:right w:val="nil"/>
            </w:tcBorders>
          </w:tcPr>
          <w:p w:rsidR="00D0456E" w:rsidRDefault="00927C2A">
            <w:pPr>
              <w:spacing w:after="0" w:line="259" w:lineRule="auto"/>
              <w:ind w:left="482" w:hanging="360"/>
              <w:jc w:val="left"/>
            </w:pPr>
            <w:r>
              <w:t xml:space="preserve">f. </w:t>
            </w:r>
            <w:r>
              <w:tab/>
              <w:t xml:space="preserve">Capital Management Partnership </w:t>
            </w:r>
          </w:p>
        </w:tc>
        <w:tc>
          <w:tcPr>
            <w:tcW w:w="2258" w:type="dxa"/>
            <w:tcBorders>
              <w:top w:val="nil"/>
              <w:left w:val="nil"/>
              <w:bottom w:val="nil"/>
              <w:right w:val="nil"/>
            </w:tcBorders>
          </w:tcPr>
          <w:p w:rsidR="00D0456E" w:rsidRDefault="00927C2A">
            <w:pPr>
              <w:spacing w:after="0" w:line="259" w:lineRule="auto"/>
              <w:ind w:left="0" w:right="152" w:firstLine="0"/>
              <w:jc w:val="center"/>
            </w:pPr>
            <w:r>
              <w:t xml:space="preserve">No </w:t>
            </w:r>
          </w:p>
        </w:tc>
        <w:tc>
          <w:tcPr>
            <w:tcW w:w="3348" w:type="dxa"/>
            <w:tcBorders>
              <w:top w:val="nil"/>
              <w:left w:val="nil"/>
              <w:bottom w:val="nil"/>
              <w:right w:val="nil"/>
            </w:tcBorders>
          </w:tcPr>
          <w:p w:rsidR="00D0456E" w:rsidRDefault="00927C2A">
            <w:pPr>
              <w:spacing w:after="0" w:line="259" w:lineRule="auto"/>
              <w:ind w:left="0" w:firstLine="0"/>
              <w:jc w:val="left"/>
            </w:pPr>
            <w:r>
              <w:t>Noncorporate entities are ineligible to join a consolidated group</w:t>
            </w:r>
          </w:p>
        </w:tc>
      </w:tr>
      <w:tr w:rsidR="00D0456E">
        <w:trPr>
          <w:trHeight w:val="585"/>
        </w:trPr>
        <w:tc>
          <w:tcPr>
            <w:tcW w:w="2724" w:type="dxa"/>
            <w:tcBorders>
              <w:top w:val="nil"/>
              <w:left w:val="nil"/>
              <w:bottom w:val="single" w:sz="4" w:space="0" w:color="000000"/>
              <w:right w:val="nil"/>
            </w:tcBorders>
          </w:tcPr>
          <w:p w:rsidR="00D0456E" w:rsidRDefault="00927C2A">
            <w:pPr>
              <w:spacing w:after="0" w:line="259" w:lineRule="auto"/>
              <w:ind w:left="122" w:firstLine="0"/>
              <w:jc w:val="left"/>
            </w:pPr>
            <w:r>
              <w:t xml:space="preserve">g. Henry Pontiac Trust </w:t>
            </w:r>
          </w:p>
        </w:tc>
        <w:tc>
          <w:tcPr>
            <w:tcW w:w="2258" w:type="dxa"/>
            <w:tcBorders>
              <w:top w:val="nil"/>
              <w:left w:val="nil"/>
              <w:bottom w:val="single" w:sz="4" w:space="0" w:color="000000"/>
              <w:right w:val="nil"/>
            </w:tcBorders>
          </w:tcPr>
          <w:p w:rsidR="00D0456E" w:rsidRDefault="00927C2A">
            <w:pPr>
              <w:spacing w:after="0" w:line="259" w:lineRule="auto"/>
              <w:ind w:left="0" w:right="151" w:firstLine="0"/>
              <w:jc w:val="center"/>
            </w:pPr>
            <w:r>
              <w:t xml:space="preserve">No </w:t>
            </w:r>
          </w:p>
        </w:tc>
        <w:tc>
          <w:tcPr>
            <w:tcW w:w="3348" w:type="dxa"/>
            <w:tcBorders>
              <w:top w:val="nil"/>
              <w:left w:val="nil"/>
              <w:bottom w:val="single" w:sz="4" w:space="0" w:color="000000"/>
              <w:right w:val="nil"/>
            </w:tcBorders>
          </w:tcPr>
          <w:p w:rsidR="00D0456E" w:rsidRDefault="00927C2A">
            <w:pPr>
              <w:spacing w:after="0" w:line="259" w:lineRule="auto"/>
              <w:ind w:left="0" w:firstLine="0"/>
              <w:jc w:val="left"/>
            </w:pPr>
            <w:r>
              <w:t xml:space="preserve">Noncorporate entities are ineligible to join a consolidated group </w:t>
            </w:r>
          </w:p>
        </w:tc>
      </w:tr>
    </w:tbl>
    <w:p w:rsidR="00D0456E" w:rsidRDefault="00927C2A">
      <w:pPr>
        <w:spacing w:after="18" w:line="259" w:lineRule="auto"/>
        <w:ind w:left="720" w:firstLine="0"/>
        <w:jc w:val="left"/>
      </w:pPr>
      <w:r>
        <w:t xml:space="preserve"> </w:t>
      </w:r>
    </w:p>
    <w:p w:rsidR="00D0456E" w:rsidRDefault="00927C2A">
      <w:pPr>
        <w:numPr>
          <w:ilvl w:val="0"/>
          <w:numId w:val="5"/>
        </w:numPr>
        <w:spacing w:after="248"/>
        <w:ind w:right="43" w:hanging="720"/>
      </w:pPr>
      <w:r>
        <w:t xml:space="preserve">(LO 5) In most cases, the decision to consolidate must be made no later than the extended due date of the parent’s return for the year. Here, that date is September 15, 2019, when the forms 1120, 851, and 1122 must be submitted. </w:t>
      </w:r>
    </w:p>
    <w:p w:rsidR="00D0456E" w:rsidRDefault="00927C2A">
      <w:pPr>
        <w:numPr>
          <w:ilvl w:val="0"/>
          <w:numId w:val="5"/>
        </w:numPr>
        <w:ind w:right="43" w:hanging="720"/>
      </w:pPr>
      <w:r>
        <w:t xml:space="preserve">(LO 5) </w:t>
      </w:r>
    </w:p>
    <w:p w:rsidR="00D0456E" w:rsidRDefault="00927C2A">
      <w:pPr>
        <w:numPr>
          <w:ilvl w:val="1"/>
          <w:numId w:val="8"/>
        </w:numPr>
        <w:spacing w:after="217"/>
        <w:ind w:right="43" w:hanging="720"/>
      </w:pPr>
      <w:r>
        <w:t xml:space="preserve">Under the </w:t>
      </w:r>
      <w:r>
        <w:rPr>
          <w:i/>
        </w:rPr>
        <w:t>relative</w:t>
      </w:r>
      <w:r>
        <w:rPr>
          <w:i/>
        </w:rPr>
        <w:t xml:space="preserve"> taxable income</w:t>
      </w:r>
      <w:r>
        <w:t xml:space="preserve"> method, the consolidated tax liability is allocated among the members based on the amounts of their separate taxable income. This might be preferred for cash flow purposes by a subsidiary that reports an operating loss for the tax year. </w:t>
      </w:r>
    </w:p>
    <w:p w:rsidR="00D0456E" w:rsidRDefault="00927C2A">
      <w:pPr>
        <w:numPr>
          <w:ilvl w:val="1"/>
          <w:numId w:val="8"/>
        </w:numPr>
        <w:ind w:right="43" w:hanging="720"/>
      </w:pPr>
      <w:r>
        <w:t>Wh</w:t>
      </w:r>
      <w:r>
        <w:t xml:space="preserve">en the </w:t>
      </w:r>
      <w:r>
        <w:rPr>
          <w:i/>
        </w:rPr>
        <w:t>relative tax liability</w:t>
      </w:r>
      <w:r>
        <w:t xml:space="preserve"> method is used, the allocation is based on the hypothetical separate tax liabilities of the affiliates. This might be preferred for cash flow reasons by a subsidiary that is the source of large tax credits for the year.  </w:t>
      </w:r>
    </w:p>
    <w:p w:rsidR="00D0456E" w:rsidRDefault="00927C2A">
      <w:pPr>
        <w:spacing w:after="0" w:line="259" w:lineRule="auto"/>
        <w:ind w:left="0" w:firstLine="0"/>
        <w:jc w:val="left"/>
      </w:pPr>
      <w:r>
        <w:t xml:space="preserve"> </w:t>
      </w:r>
    </w:p>
    <w:p w:rsidR="00D0456E" w:rsidRDefault="00927C2A">
      <w:pPr>
        <w:numPr>
          <w:ilvl w:val="0"/>
          <w:numId w:val="5"/>
        </w:numPr>
        <w:spacing w:after="182"/>
        <w:ind w:right="43" w:hanging="720"/>
      </w:pPr>
      <w:r>
        <w:t>(L</w:t>
      </w:r>
      <w:r>
        <w:t xml:space="preserve">O 6) TAX FILE MEMORANDUM </w:t>
      </w:r>
    </w:p>
    <w:p w:rsidR="00D0456E" w:rsidRDefault="00927C2A">
      <w:pPr>
        <w:spacing w:after="204"/>
        <w:ind w:left="715" w:right="43"/>
      </w:pPr>
      <w:r>
        <w:t xml:space="preserve">November 1, 2017 </w:t>
      </w:r>
    </w:p>
    <w:p w:rsidR="00D0456E" w:rsidRDefault="00927C2A">
      <w:pPr>
        <w:tabs>
          <w:tab w:val="center" w:pos="2003"/>
          <w:tab w:val="center" w:pos="3438"/>
        </w:tabs>
        <w:spacing w:after="181"/>
        <w:ind w:left="0" w:firstLine="0"/>
        <w:jc w:val="left"/>
      </w:pPr>
      <w:r>
        <w:rPr>
          <w:rFonts w:ascii="Calibri" w:eastAsia="Calibri" w:hAnsi="Calibri" w:cs="Calibri"/>
        </w:rPr>
        <w:tab/>
      </w:r>
      <w:r>
        <w:t xml:space="preserve">To:  </w:t>
      </w:r>
      <w:r>
        <w:tab/>
        <w:t xml:space="preserve">Tax File, Jeri Byers </w:t>
      </w:r>
    </w:p>
    <w:p w:rsidR="00D0456E" w:rsidRDefault="00927C2A">
      <w:pPr>
        <w:spacing w:after="204"/>
        <w:ind w:left="715" w:right="43"/>
      </w:pPr>
      <w:r>
        <w:t xml:space="preserve">From:  Mandy Michael </w:t>
      </w:r>
    </w:p>
    <w:p w:rsidR="00D0456E" w:rsidRDefault="00927C2A">
      <w:pPr>
        <w:tabs>
          <w:tab w:val="center" w:pos="2003"/>
          <w:tab w:val="center" w:pos="4226"/>
        </w:tabs>
        <w:spacing w:after="182"/>
        <w:ind w:left="0" w:firstLine="0"/>
        <w:jc w:val="left"/>
      </w:pPr>
      <w:r>
        <w:rPr>
          <w:rFonts w:ascii="Calibri" w:eastAsia="Calibri" w:hAnsi="Calibri" w:cs="Calibri"/>
        </w:rPr>
        <w:tab/>
      </w:r>
      <w:r>
        <w:t xml:space="preserve">Re:  </w:t>
      </w:r>
      <w:r>
        <w:tab/>
        <w:t xml:space="preserve">Adjustments to subsidiary stock basis </w:t>
      </w:r>
    </w:p>
    <w:p w:rsidR="00D0456E" w:rsidRDefault="00927C2A">
      <w:pPr>
        <w:spacing w:after="175"/>
        <w:ind w:left="715" w:right="43"/>
      </w:pPr>
      <w:r>
        <w:t xml:space="preserve">Adjustments to stock basis are made for the subsidiary’s allocable share of each of the following. </w:t>
      </w:r>
    </w:p>
    <w:p w:rsidR="00D0456E" w:rsidRDefault="00927C2A">
      <w:pPr>
        <w:spacing w:after="211" w:line="259" w:lineRule="auto"/>
        <w:ind w:left="715"/>
        <w:jc w:val="left"/>
      </w:pPr>
      <w:r>
        <w:rPr>
          <w:b/>
          <w:i/>
        </w:rPr>
        <w:t xml:space="preserve">Positive Adjustments </w:t>
      </w:r>
    </w:p>
    <w:p w:rsidR="00D0456E" w:rsidRDefault="00927C2A">
      <w:pPr>
        <w:numPr>
          <w:ilvl w:val="1"/>
          <w:numId w:val="5"/>
        </w:numPr>
        <w:spacing w:after="187"/>
        <w:ind w:right="43" w:hanging="360"/>
      </w:pPr>
      <w:r>
        <w:t xml:space="preserve">Consolidated taxable income </w:t>
      </w:r>
    </w:p>
    <w:p w:rsidR="00D0456E" w:rsidRDefault="00927C2A">
      <w:pPr>
        <w:numPr>
          <w:ilvl w:val="1"/>
          <w:numId w:val="5"/>
        </w:numPr>
        <w:ind w:right="43" w:hanging="360"/>
      </w:pPr>
      <w:r>
        <w:t xml:space="preserve">Unused operating or capital loss </w:t>
      </w:r>
    </w:p>
    <w:p w:rsidR="00D0456E" w:rsidRDefault="00927C2A">
      <w:pPr>
        <w:spacing w:after="211" w:line="259" w:lineRule="auto"/>
        <w:ind w:left="715"/>
        <w:jc w:val="left"/>
      </w:pPr>
      <w:r>
        <w:rPr>
          <w:b/>
          <w:i/>
        </w:rPr>
        <w:t xml:space="preserve">Negative Adjustments </w:t>
      </w:r>
    </w:p>
    <w:p w:rsidR="00D0456E" w:rsidRDefault="00927C2A">
      <w:pPr>
        <w:numPr>
          <w:ilvl w:val="1"/>
          <w:numId w:val="5"/>
        </w:numPr>
        <w:spacing w:after="187"/>
        <w:ind w:right="43" w:hanging="360"/>
      </w:pPr>
      <w:r>
        <w:t xml:space="preserve">Consolidated taxable loss </w:t>
      </w:r>
    </w:p>
    <w:p w:rsidR="00D0456E" w:rsidRDefault="00927C2A">
      <w:pPr>
        <w:numPr>
          <w:ilvl w:val="1"/>
          <w:numId w:val="5"/>
        </w:numPr>
        <w:spacing w:after="189"/>
        <w:ind w:right="43" w:hanging="360"/>
      </w:pPr>
      <w:r>
        <w:t xml:space="preserve">Operating and capital losses, used or carried back this year, if not previously deducted from basis </w:t>
      </w:r>
    </w:p>
    <w:p w:rsidR="00D0456E" w:rsidRDefault="00927C2A">
      <w:pPr>
        <w:numPr>
          <w:ilvl w:val="1"/>
          <w:numId w:val="5"/>
        </w:numPr>
        <w:ind w:right="43" w:hanging="360"/>
      </w:pPr>
      <w:r>
        <w:t xml:space="preserve">Dividends paid to parent out of the subsidiary’s E &amp; P </w:t>
      </w:r>
    </w:p>
    <w:p w:rsidR="00D0456E" w:rsidRDefault="00927C2A">
      <w:pPr>
        <w:spacing w:after="0" w:line="259" w:lineRule="auto"/>
        <w:ind w:left="0" w:firstLine="0"/>
        <w:jc w:val="left"/>
      </w:pPr>
      <w:r>
        <w:t xml:space="preserve"> </w:t>
      </w:r>
    </w:p>
    <w:p w:rsidR="00D0456E" w:rsidRDefault="00927C2A">
      <w:pPr>
        <w:numPr>
          <w:ilvl w:val="0"/>
          <w:numId w:val="5"/>
        </w:numPr>
        <w:spacing w:after="181"/>
        <w:ind w:right="43" w:hanging="720"/>
      </w:pPr>
      <w:r>
        <w:t xml:space="preserve">(LO 6) A parent’s stock basis in a consolidated subsidiary never can go below zero. But when negative adjustments exceed the stock basis in the subsidiary, an </w:t>
      </w:r>
      <w:r>
        <w:rPr>
          <w:i/>
        </w:rPr>
        <w:t>excess loss account</w:t>
      </w:r>
      <w:r>
        <w:t xml:space="preserve"> is created, in the amount of the negative adjustments. This means that annual operating and other losses of the subsidiary can continue to be deducted on the consolidated return; their use is not suspended as would be the case with partnerships and S corp</w:t>
      </w:r>
      <w:r>
        <w:t xml:space="preserve">orations (see Chapters 10 and 12, respectively). </w:t>
      </w:r>
    </w:p>
    <w:p w:rsidR="00D0456E" w:rsidRDefault="00927C2A">
      <w:pPr>
        <w:ind w:left="720" w:right="43" w:hanging="720"/>
      </w:pPr>
      <w:r>
        <w:t xml:space="preserve">  If the subsidiary stock is sold or redeemed by the parent when an excess loss account exists, the parent typically recognizes the balance of the account as capital gain. </w:t>
      </w:r>
    </w:p>
    <w:p w:rsidR="00D0456E" w:rsidRDefault="00927C2A">
      <w:pPr>
        <w:spacing w:after="0" w:line="259" w:lineRule="auto"/>
        <w:ind w:left="0" w:firstLine="0"/>
        <w:jc w:val="left"/>
      </w:pPr>
      <w:r>
        <w:t xml:space="preserve"> </w:t>
      </w:r>
    </w:p>
    <w:p w:rsidR="00D0456E" w:rsidRDefault="00927C2A">
      <w:pPr>
        <w:numPr>
          <w:ilvl w:val="1"/>
          <w:numId w:val="9"/>
        </w:numPr>
        <w:spacing w:after="229"/>
        <w:ind w:right="43" w:hanging="721"/>
      </w:pPr>
      <w:r>
        <w:t xml:space="preserve">The stock basis is zero. Friar </w:t>
      </w:r>
      <w:r>
        <w:t xml:space="preserve">now holds a $1 million excess loss account for Abbey. </w:t>
      </w:r>
    </w:p>
    <w:p w:rsidR="00D0456E" w:rsidRDefault="00927C2A">
      <w:pPr>
        <w:numPr>
          <w:ilvl w:val="1"/>
          <w:numId w:val="9"/>
        </w:numPr>
        <w:spacing w:after="222"/>
        <w:ind w:right="43" w:hanging="721"/>
      </w:pPr>
      <w:r>
        <w:t xml:space="preserve">Such a disposition would trigger a $1 million capital gain for Friar. </w:t>
      </w:r>
    </w:p>
    <w:p w:rsidR="00D0456E" w:rsidRDefault="00927C2A">
      <w:pPr>
        <w:numPr>
          <w:ilvl w:val="0"/>
          <w:numId w:val="5"/>
        </w:numPr>
        <w:ind w:right="43" w:hanging="720"/>
      </w:pPr>
      <w:r>
        <w:t xml:space="preserve">(LO 6) There is no such concept as consolidated earnings and profits (E &amp; P) in the Federal income tax law.   </w:t>
      </w:r>
    </w:p>
    <w:p w:rsidR="00D0456E" w:rsidRDefault="00927C2A">
      <w:pPr>
        <w:spacing w:after="0" w:line="259" w:lineRule="auto"/>
        <w:ind w:left="0" w:firstLine="0"/>
        <w:jc w:val="left"/>
      </w:pPr>
      <w:r>
        <w:t xml:space="preserve"> </w:t>
      </w:r>
    </w:p>
    <w:p w:rsidR="00D0456E" w:rsidRDefault="00927C2A">
      <w:pPr>
        <w:ind w:left="720" w:right="43" w:hanging="720"/>
      </w:pPr>
      <w:r>
        <w:t xml:space="preserve">  The subsidiarie</w:t>
      </w:r>
      <w:r>
        <w:t>s keep track of their respective E &amp; P balances on a pre-consolidated basis, as does the parent. A subsidiary’s E &amp; P records its own operating results, and it makes E &amp; P adjustments for its agreed-upon share of the consolidated Federal income tax liabili</w:t>
      </w:r>
      <w:r>
        <w:t xml:space="preserve">ty. E &amp; P of the subsidiary also reflects any gain/loss on intercompany transactions with other affiliates.   </w:t>
      </w:r>
    </w:p>
    <w:p w:rsidR="00D0456E" w:rsidRDefault="00927C2A">
      <w:pPr>
        <w:spacing w:after="0" w:line="259" w:lineRule="auto"/>
        <w:ind w:left="0" w:firstLine="0"/>
        <w:jc w:val="left"/>
      </w:pPr>
      <w:r>
        <w:t xml:space="preserve"> </w:t>
      </w:r>
    </w:p>
    <w:p w:rsidR="00D0456E" w:rsidRDefault="00927C2A">
      <w:pPr>
        <w:ind w:left="720" w:right="43" w:hanging="720"/>
      </w:pPr>
      <w:r>
        <w:t xml:space="preserve">  Likely’s operating profit increases Certain’s basis in the Lively stock. The related E &amp; P adjustment occurs on Likely’s tax records. </w:t>
      </w:r>
    </w:p>
    <w:p w:rsidR="00D0456E" w:rsidRDefault="00927C2A">
      <w:pPr>
        <w:spacing w:after="0" w:line="259" w:lineRule="auto"/>
        <w:ind w:left="0" w:firstLine="0"/>
        <w:jc w:val="left"/>
      </w:pPr>
      <w:r>
        <w:t xml:space="preserve"> </w:t>
      </w:r>
    </w:p>
    <w:p w:rsidR="00D0456E" w:rsidRDefault="00927C2A">
      <w:pPr>
        <w:numPr>
          <w:ilvl w:val="0"/>
          <w:numId w:val="5"/>
        </w:numPr>
        <w:spacing w:after="162"/>
        <w:ind w:right="43" w:hanging="720"/>
      </w:pPr>
      <w:r>
        <w:t xml:space="preserve">(LO </w:t>
      </w:r>
      <w:r>
        <w:t xml:space="preserve">6) Consolidated taxable income is derived using the following step-wise computational method.   </w:t>
      </w:r>
    </w:p>
    <w:p w:rsidR="00D0456E" w:rsidRDefault="00927C2A">
      <w:pPr>
        <w:numPr>
          <w:ilvl w:val="1"/>
          <w:numId w:val="5"/>
        </w:numPr>
        <w:spacing w:after="197"/>
        <w:ind w:right="43" w:hanging="360"/>
      </w:pPr>
      <w:r>
        <w:t xml:space="preserve">Compute taxable income for each affiliate on a separate basis, applying the usual rules of Subchapter C and the rest of the Code. </w:t>
      </w:r>
    </w:p>
    <w:p w:rsidR="00D0456E" w:rsidRDefault="00927C2A">
      <w:pPr>
        <w:numPr>
          <w:ilvl w:val="1"/>
          <w:numId w:val="5"/>
        </w:numPr>
        <w:spacing w:after="98" w:line="304" w:lineRule="auto"/>
        <w:ind w:right="43" w:hanging="360"/>
      </w:pPr>
      <w:r>
        <w:t xml:space="preserve">Remove from each affiliate’s separate taxable income any </w:t>
      </w:r>
      <w:r>
        <w:rPr>
          <w:i/>
        </w:rPr>
        <w:t>group items</w:t>
      </w:r>
      <w:r>
        <w:t xml:space="preserve">. </w:t>
      </w:r>
      <w:r>
        <w:rPr>
          <w:rFonts w:ascii="Segoe UI Symbol" w:eastAsia="Segoe UI Symbol" w:hAnsi="Segoe UI Symbol" w:cs="Segoe UI Symbol"/>
        </w:rPr>
        <w:t xml:space="preserve">• </w:t>
      </w:r>
      <w:r>
        <w:t xml:space="preserve">Remove from each affiliate’s separate taxable income the tax effects of any </w:t>
      </w:r>
      <w:r>
        <w:rPr>
          <w:i/>
        </w:rPr>
        <w:t>intercompany transactions</w:t>
      </w:r>
      <w:r>
        <w:t xml:space="preserve">. </w:t>
      </w:r>
    </w:p>
    <w:p w:rsidR="00D0456E" w:rsidRDefault="00927C2A">
      <w:pPr>
        <w:numPr>
          <w:ilvl w:val="1"/>
          <w:numId w:val="5"/>
        </w:numPr>
        <w:spacing w:after="161"/>
        <w:ind w:right="43" w:hanging="360"/>
      </w:pPr>
      <w:r>
        <w:t>Account for any intercompany distributions and permanent eliminations from conso</w:t>
      </w:r>
      <w:r>
        <w:t xml:space="preserve">lidated taxable income. </w:t>
      </w:r>
    </w:p>
    <w:p w:rsidR="00D0456E" w:rsidRDefault="00927C2A">
      <w:pPr>
        <w:numPr>
          <w:ilvl w:val="1"/>
          <w:numId w:val="5"/>
        </w:numPr>
        <w:spacing w:after="208"/>
        <w:ind w:right="43" w:hanging="360"/>
      </w:pPr>
      <w:r>
        <w:t>Use the combined amounts from all affiliates to compute the effects on consolidated taxable income of each of the identified group items. Add these positive or negative amounts back to taxable income (or the amount of the AMT base)</w:t>
      </w:r>
      <w:r>
        <w:t xml:space="preserve">. </w:t>
      </w:r>
    </w:p>
    <w:p w:rsidR="00D0456E" w:rsidRDefault="00927C2A">
      <w:pPr>
        <w:numPr>
          <w:ilvl w:val="1"/>
          <w:numId w:val="5"/>
        </w:numPr>
        <w:spacing w:after="169"/>
        <w:ind w:right="43" w:hanging="360"/>
      </w:pPr>
      <w:r>
        <w:t xml:space="preserve">Isolate the effects of intercompany transactions on consolidated taxable income. </w:t>
      </w:r>
    </w:p>
    <w:p w:rsidR="00D0456E" w:rsidRDefault="00927C2A">
      <w:pPr>
        <w:numPr>
          <w:ilvl w:val="1"/>
          <w:numId w:val="5"/>
        </w:numPr>
        <w:spacing w:after="181"/>
        <w:ind w:right="43" w:hanging="360"/>
      </w:pPr>
      <w:r>
        <w:t xml:space="preserve">Combine all of the pertinent amounts into consolidated taxable income. </w:t>
      </w:r>
    </w:p>
    <w:p w:rsidR="00D0456E" w:rsidRDefault="00927C2A">
      <w:pPr>
        <w:numPr>
          <w:ilvl w:val="0"/>
          <w:numId w:val="5"/>
        </w:numPr>
        <w:ind w:right="43" w:hanging="720"/>
      </w:pPr>
      <w:r>
        <w:t>(LO 8) Perhaps not. At most, only $2 million of Mini’s NOL carryforward can be used in the first ta</w:t>
      </w:r>
      <w:r>
        <w:t xml:space="preserve">x year, which is that entity’s cumulative contribution to consolidated taxable income, as the SRLY rules require. Then, § 382 further may reduce that deduction.  </w:t>
      </w:r>
    </w:p>
    <w:p w:rsidR="00D0456E" w:rsidRDefault="00927C2A">
      <w:pPr>
        <w:numPr>
          <w:ilvl w:val="0"/>
          <w:numId w:val="5"/>
        </w:numPr>
        <w:spacing w:after="209"/>
        <w:ind w:right="43" w:hanging="720"/>
      </w:pPr>
      <w:r>
        <w:t>(LO 8) The separate return limitation year (SRLY) rules defer the deduction for the net opera</w:t>
      </w:r>
      <w:r>
        <w:t>ting losses of an affiliate until that corporation contributes positively to consolidated taxable income. The SRLY rules are intended to prevent a “trafficking” in the net operating losses of unsuccessful corporations, which might be acquired merely to obt</w:t>
      </w:r>
      <w:r>
        <w:t>ain the NOL deductions. The SRLY rules attempt to keep an existing group from reducing consolidated taxable income by using current loss deductions that are traceable to an affiliate’s operations prior to its joining the consolidated group. The new affilia</w:t>
      </w:r>
      <w:r>
        <w:t xml:space="preserve">te’s NOLs are allowed, but only after that affiliate makes positive contributions to the taxable income of the group. </w:t>
      </w:r>
    </w:p>
    <w:p w:rsidR="00D0456E" w:rsidRDefault="00927C2A">
      <w:pPr>
        <w:numPr>
          <w:ilvl w:val="0"/>
          <w:numId w:val="5"/>
        </w:numPr>
        <w:spacing w:after="225"/>
        <w:ind w:right="43" w:hanging="720"/>
      </w:pPr>
      <w:r>
        <w:t xml:space="preserve">(LO 9) A consolidated group computes the following items on a group basis when filing its tax return, among others. </w:t>
      </w:r>
    </w:p>
    <w:p w:rsidR="00D0456E" w:rsidRDefault="00927C2A">
      <w:pPr>
        <w:numPr>
          <w:ilvl w:val="1"/>
          <w:numId w:val="5"/>
        </w:numPr>
        <w:spacing w:after="187"/>
        <w:ind w:right="43" w:hanging="360"/>
      </w:pPr>
      <w:r>
        <w:t>Net capital gain/los</w:t>
      </w:r>
      <w:r>
        <w:t xml:space="preserve">s </w:t>
      </w:r>
    </w:p>
    <w:p w:rsidR="00D0456E" w:rsidRDefault="00927C2A">
      <w:pPr>
        <w:numPr>
          <w:ilvl w:val="1"/>
          <w:numId w:val="5"/>
        </w:numPr>
        <w:spacing w:after="188"/>
        <w:ind w:right="43" w:hanging="360"/>
      </w:pPr>
      <w:r>
        <w:t xml:space="preserve">§ 1231 gain/loss </w:t>
      </w:r>
    </w:p>
    <w:p w:rsidR="00D0456E" w:rsidRDefault="00927C2A">
      <w:pPr>
        <w:numPr>
          <w:ilvl w:val="1"/>
          <w:numId w:val="5"/>
        </w:numPr>
        <w:spacing w:after="187"/>
        <w:ind w:right="43" w:hanging="360"/>
      </w:pPr>
      <w:r>
        <w:t xml:space="preserve">§ 199 domestic production activities deduction </w:t>
      </w:r>
    </w:p>
    <w:p w:rsidR="00D0456E" w:rsidRDefault="00927C2A">
      <w:pPr>
        <w:numPr>
          <w:ilvl w:val="1"/>
          <w:numId w:val="5"/>
        </w:numPr>
        <w:spacing w:after="206"/>
        <w:ind w:right="43" w:hanging="360"/>
      </w:pPr>
      <w:r>
        <w:t xml:space="preserve">Casualty/theft gain/loss </w:t>
      </w:r>
    </w:p>
    <w:p w:rsidR="00D0456E" w:rsidRDefault="00927C2A">
      <w:pPr>
        <w:numPr>
          <w:ilvl w:val="1"/>
          <w:numId w:val="5"/>
        </w:numPr>
        <w:spacing w:after="186"/>
        <w:ind w:right="43" w:hanging="360"/>
      </w:pPr>
      <w:r>
        <w:t xml:space="preserve">Charitable contributions </w:t>
      </w:r>
    </w:p>
    <w:p w:rsidR="00D0456E" w:rsidRDefault="00927C2A">
      <w:pPr>
        <w:numPr>
          <w:ilvl w:val="1"/>
          <w:numId w:val="5"/>
        </w:numPr>
        <w:spacing w:after="187"/>
        <w:ind w:right="43" w:hanging="360"/>
      </w:pPr>
      <w:r>
        <w:t xml:space="preserve">Dividends received deduction </w:t>
      </w:r>
    </w:p>
    <w:p w:rsidR="00D0456E" w:rsidRDefault="00927C2A">
      <w:pPr>
        <w:numPr>
          <w:ilvl w:val="1"/>
          <w:numId w:val="5"/>
        </w:numPr>
        <w:spacing w:after="188"/>
        <w:ind w:right="43" w:hanging="360"/>
      </w:pPr>
      <w:r>
        <w:t xml:space="preserve">Net operating loss </w:t>
      </w:r>
    </w:p>
    <w:p w:rsidR="00D0456E" w:rsidRDefault="00927C2A">
      <w:pPr>
        <w:numPr>
          <w:ilvl w:val="1"/>
          <w:numId w:val="5"/>
        </w:numPr>
        <w:spacing w:after="186"/>
        <w:ind w:right="43" w:hanging="360"/>
      </w:pPr>
      <w:r>
        <w:t xml:space="preserve">The foreign tax credit and other business tax credits and their recapture </w:t>
      </w:r>
    </w:p>
    <w:p w:rsidR="00D0456E" w:rsidRDefault="00927C2A">
      <w:pPr>
        <w:numPr>
          <w:ilvl w:val="1"/>
          <w:numId w:val="5"/>
        </w:numPr>
        <w:spacing w:after="189"/>
        <w:ind w:right="43" w:hanging="360"/>
      </w:pPr>
      <w:r>
        <w:t xml:space="preserve">Percentage depletion deduction </w:t>
      </w:r>
    </w:p>
    <w:p w:rsidR="00D0456E" w:rsidRDefault="00927C2A">
      <w:pPr>
        <w:numPr>
          <w:ilvl w:val="1"/>
          <w:numId w:val="5"/>
        </w:numPr>
        <w:spacing w:after="208"/>
        <w:ind w:right="43" w:hanging="360"/>
      </w:pPr>
      <w:r>
        <w:t xml:space="preserve">AMT exemption, preferences, and adjustments </w:t>
      </w:r>
    </w:p>
    <w:p w:rsidR="00D0456E" w:rsidRDefault="00927C2A">
      <w:pPr>
        <w:numPr>
          <w:ilvl w:val="0"/>
          <w:numId w:val="5"/>
        </w:numPr>
        <w:ind w:right="43" w:hanging="720"/>
      </w:pPr>
      <w:r>
        <w:t xml:space="preserve">(LO 9, 10) </w:t>
      </w:r>
    </w:p>
    <w:p w:rsidR="00D0456E" w:rsidRDefault="00927C2A">
      <w:pPr>
        <w:numPr>
          <w:ilvl w:val="1"/>
          <w:numId w:val="10"/>
        </w:numPr>
        <w:spacing w:after="183"/>
        <w:ind w:right="43" w:hanging="720"/>
      </w:pPr>
      <w:r>
        <w:t>The matching rule generally defers gain/loss recognition until an asset is sold outside of the consolidated group. The matching rule applies a “one company with multip</w:t>
      </w:r>
      <w:r>
        <w:t>le divisions” approach to intercompany transactions. The acceleration rule applies when the matching rule is inappropriate, triggering immediate recognition of the gain/loss. The rules are mandatory; they apply whenever the transaction is structured to tri</w:t>
      </w:r>
      <w:r>
        <w:t xml:space="preserve">gger the acceleration or deferral. With effective tax planning relative to the transactions, the entities can achieve the desired tax results. </w:t>
      </w:r>
    </w:p>
    <w:p w:rsidR="00D0456E" w:rsidRDefault="00927C2A">
      <w:pPr>
        <w:numPr>
          <w:ilvl w:val="1"/>
          <w:numId w:val="10"/>
        </w:numPr>
        <w:spacing w:after="181"/>
        <w:ind w:right="43" w:hanging="720"/>
      </w:pPr>
      <w:r>
        <w:t>Taking into account the time value of money, tax advisers often recommend that taxable gains be deferred and ded</w:t>
      </w:r>
      <w:r>
        <w:t xml:space="preserve">uctible losses be accelerated. Thus, most taxpayers prefer to apply the matching rule to gains and the acceleration rule to losses. </w:t>
      </w:r>
    </w:p>
    <w:p w:rsidR="00D0456E" w:rsidRDefault="00927C2A">
      <w:pPr>
        <w:numPr>
          <w:ilvl w:val="0"/>
          <w:numId w:val="5"/>
        </w:numPr>
        <w:spacing w:after="221"/>
        <w:ind w:right="43" w:hanging="720"/>
      </w:pPr>
      <w:r>
        <w:t>(LO 9) The only reflection of these transactions in consolidated taxable income is in year 4, when the total $260 gain is r</w:t>
      </w:r>
      <w:r>
        <w:t xml:space="preserve">ecognized. The matching rule defers the year 3 realized gain, as though it were a sale between divisions of one corporation. </w:t>
      </w:r>
    </w:p>
    <w:p w:rsidR="00D0456E" w:rsidRDefault="00927C2A">
      <w:pPr>
        <w:numPr>
          <w:ilvl w:val="0"/>
          <w:numId w:val="5"/>
        </w:numPr>
        <w:spacing w:after="195"/>
        <w:ind w:right="43" w:hanging="720"/>
      </w:pPr>
      <w:r>
        <w:t>(LO 9) The only reflection of these transactions in consolidated taxable income is in year 4, when the total $160 loss is recognized. The matching rule defers the year 3 realized loss, as though it were a sale between divisions of one corporation. The matc</w:t>
      </w:r>
      <w:r>
        <w:t xml:space="preserve">hing rule is designed to prevent group members from accelerating loss deductions that are realized within the group.  </w:t>
      </w:r>
    </w:p>
    <w:p w:rsidR="00D0456E" w:rsidRDefault="00927C2A">
      <w:pPr>
        <w:spacing w:after="0" w:line="259" w:lineRule="auto"/>
        <w:ind w:left="0" w:firstLine="0"/>
        <w:jc w:val="left"/>
      </w:pPr>
      <w:r>
        <w:rPr>
          <w:b/>
        </w:rPr>
        <w:t xml:space="preserve"> </w:t>
      </w:r>
      <w:r>
        <w:rPr>
          <w:b/>
        </w:rPr>
        <w:tab/>
        <w:t xml:space="preserve"> </w:t>
      </w:r>
    </w:p>
    <w:p w:rsidR="00D0456E" w:rsidRDefault="00927C2A">
      <w:pPr>
        <w:pStyle w:val="Heading1"/>
        <w:ind w:left="-5"/>
      </w:pPr>
      <w:r>
        <w:t xml:space="preserve">COMPUTATIONAL EXERCISES </w:t>
      </w:r>
    </w:p>
    <w:p w:rsidR="00D0456E" w:rsidRDefault="00927C2A">
      <w:pPr>
        <w:spacing w:after="0" w:line="259" w:lineRule="auto"/>
        <w:ind w:left="0" w:firstLine="0"/>
        <w:jc w:val="left"/>
      </w:pPr>
      <w:r>
        <w:t xml:space="preserve"> </w:t>
      </w:r>
    </w:p>
    <w:p w:rsidR="00D0456E" w:rsidRDefault="00927C2A">
      <w:pPr>
        <w:numPr>
          <w:ilvl w:val="0"/>
          <w:numId w:val="11"/>
        </w:numPr>
        <w:spacing w:after="211"/>
        <w:ind w:right="43" w:hanging="719"/>
      </w:pPr>
      <w:r>
        <w:t>(LO 5) The most commonly used tax sharing agreements are the relative taxable income and relative tax liability methods. Under the relative taxable income method, the consolidated tax liability is allocated among the members based on their relative amounts</w:t>
      </w:r>
      <w:r>
        <w:t xml:space="preserve"> of separate taxable income. When the relative tax liability method is used, the consolidated tax liability is allocated based on the relative hypothetical separate tax liabilities of the members. IRS permission is required for the group to change from one</w:t>
      </w:r>
      <w:r>
        <w:t xml:space="preserve"> allocation method to another. </w:t>
      </w:r>
    </w:p>
    <w:p w:rsidR="00D0456E" w:rsidRDefault="00927C2A">
      <w:pPr>
        <w:numPr>
          <w:ilvl w:val="1"/>
          <w:numId w:val="11"/>
        </w:numPr>
        <w:spacing w:after="218"/>
        <w:ind w:right="43" w:hanging="776"/>
      </w:pPr>
      <w:r>
        <w:t xml:space="preserve">The consolidated taxable income is $14,500 ($10,000 </w:t>
      </w:r>
      <w:r>
        <w:t>−</w:t>
      </w:r>
      <w:r>
        <w:t xml:space="preserve"> $1,500 + $4,000 + $2,000). The consolidated tax liability (assuming a 35% rate) is $5,075 ($14,500 × 35%). </w:t>
      </w:r>
    </w:p>
    <w:p w:rsidR="00D0456E" w:rsidRDefault="00927C2A">
      <w:pPr>
        <w:tabs>
          <w:tab w:val="center" w:pos="853"/>
          <w:tab w:val="center" w:pos="1490"/>
        </w:tabs>
        <w:ind w:left="0" w:firstLine="0"/>
        <w:jc w:val="left"/>
      </w:pPr>
      <w:r>
        <w:rPr>
          <w:rFonts w:ascii="Calibri" w:eastAsia="Calibri" w:hAnsi="Calibri" w:cs="Calibri"/>
        </w:rPr>
        <w:tab/>
      </w:r>
      <w:r>
        <w:t xml:space="preserve">b. </w:t>
      </w:r>
      <w:r>
        <w:tab/>
        <w:t xml:space="preserve"> </w:t>
      </w:r>
    </w:p>
    <w:tbl>
      <w:tblPr>
        <w:tblStyle w:val="TableGrid"/>
        <w:tblW w:w="7124" w:type="dxa"/>
        <w:tblInd w:w="1426" w:type="dxa"/>
        <w:tblCellMar>
          <w:top w:w="13" w:type="dxa"/>
          <w:left w:w="0" w:type="dxa"/>
          <w:bottom w:w="27" w:type="dxa"/>
          <w:right w:w="220" w:type="dxa"/>
        </w:tblCellMar>
        <w:tblLook w:val="04A0" w:firstRow="1" w:lastRow="0" w:firstColumn="1" w:lastColumn="0" w:noHBand="0" w:noVBand="1"/>
      </w:tblPr>
      <w:tblGrid>
        <w:gridCol w:w="1150"/>
        <w:gridCol w:w="1944"/>
        <w:gridCol w:w="2864"/>
        <w:gridCol w:w="1166"/>
      </w:tblGrid>
      <w:tr w:rsidR="00D0456E">
        <w:trPr>
          <w:trHeight w:val="576"/>
        </w:trPr>
        <w:tc>
          <w:tcPr>
            <w:tcW w:w="1150" w:type="dxa"/>
            <w:tcBorders>
              <w:top w:val="single" w:sz="4" w:space="0" w:color="000000"/>
              <w:left w:val="nil"/>
              <w:bottom w:val="single" w:sz="4" w:space="0" w:color="000000"/>
              <w:right w:val="nil"/>
            </w:tcBorders>
            <w:vAlign w:val="bottom"/>
          </w:tcPr>
          <w:p w:rsidR="00D0456E" w:rsidRDefault="00927C2A">
            <w:pPr>
              <w:spacing w:after="0" w:line="259" w:lineRule="auto"/>
              <w:ind w:left="130" w:firstLine="0"/>
              <w:jc w:val="left"/>
            </w:pPr>
            <w:r>
              <w:rPr>
                <w:b/>
              </w:rPr>
              <w:t xml:space="preserve">Entity </w:t>
            </w:r>
          </w:p>
        </w:tc>
        <w:tc>
          <w:tcPr>
            <w:tcW w:w="1944" w:type="dxa"/>
            <w:tcBorders>
              <w:top w:val="single" w:sz="4" w:space="0" w:color="000000"/>
              <w:left w:val="nil"/>
              <w:bottom w:val="single" w:sz="4" w:space="0" w:color="000000"/>
              <w:right w:val="nil"/>
            </w:tcBorders>
          </w:tcPr>
          <w:p w:rsidR="00D0456E" w:rsidRDefault="00927C2A">
            <w:pPr>
              <w:spacing w:after="0" w:line="259" w:lineRule="auto"/>
              <w:ind w:left="0" w:firstLine="340"/>
              <w:jc w:val="left"/>
            </w:pPr>
            <w:r>
              <w:rPr>
                <w:b/>
              </w:rPr>
              <w:t xml:space="preserve">Separate  Taxable Income </w:t>
            </w:r>
          </w:p>
        </w:tc>
        <w:tc>
          <w:tcPr>
            <w:tcW w:w="2865" w:type="dxa"/>
            <w:tcBorders>
              <w:top w:val="single" w:sz="4" w:space="0" w:color="000000"/>
              <w:left w:val="nil"/>
              <w:bottom w:val="single" w:sz="4" w:space="0" w:color="000000"/>
              <w:right w:val="nil"/>
            </w:tcBorders>
            <w:vAlign w:val="bottom"/>
          </w:tcPr>
          <w:p w:rsidR="00D0456E" w:rsidRDefault="00927C2A">
            <w:pPr>
              <w:spacing w:after="0" w:line="259" w:lineRule="auto"/>
              <w:ind w:left="330" w:firstLine="0"/>
              <w:jc w:val="left"/>
            </w:pPr>
            <w:r>
              <w:rPr>
                <w:b/>
              </w:rPr>
              <w:t xml:space="preserve">  Allocation Ratio </w:t>
            </w:r>
          </w:p>
        </w:tc>
        <w:tc>
          <w:tcPr>
            <w:tcW w:w="1166" w:type="dxa"/>
            <w:tcBorders>
              <w:top w:val="single" w:sz="4" w:space="0" w:color="000000"/>
              <w:left w:val="nil"/>
              <w:bottom w:val="single" w:sz="4" w:space="0" w:color="000000"/>
              <w:right w:val="nil"/>
            </w:tcBorders>
          </w:tcPr>
          <w:p w:rsidR="00D0456E" w:rsidRDefault="00927C2A">
            <w:pPr>
              <w:spacing w:after="0" w:line="259" w:lineRule="auto"/>
              <w:ind w:left="46" w:hanging="46"/>
              <w:jc w:val="left"/>
            </w:pPr>
            <w:r>
              <w:rPr>
                <w:b/>
              </w:rPr>
              <w:t xml:space="preserve">Allocated Tax Due </w:t>
            </w:r>
          </w:p>
        </w:tc>
      </w:tr>
      <w:tr w:rsidR="00D0456E">
        <w:trPr>
          <w:trHeight w:val="282"/>
        </w:trPr>
        <w:tc>
          <w:tcPr>
            <w:tcW w:w="1150" w:type="dxa"/>
            <w:tcBorders>
              <w:top w:val="single" w:sz="4" w:space="0" w:color="000000"/>
              <w:left w:val="nil"/>
              <w:bottom w:val="nil"/>
              <w:right w:val="nil"/>
            </w:tcBorders>
          </w:tcPr>
          <w:p w:rsidR="00D0456E" w:rsidRDefault="00927C2A">
            <w:pPr>
              <w:spacing w:after="0" w:line="259" w:lineRule="auto"/>
              <w:ind w:left="130" w:firstLine="0"/>
              <w:jc w:val="left"/>
            </w:pPr>
            <w:r>
              <w:t xml:space="preserve">Parent  </w:t>
            </w:r>
          </w:p>
        </w:tc>
        <w:tc>
          <w:tcPr>
            <w:tcW w:w="1944" w:type="dxa"/>
            <w:tcBorders>
              <w:top w:val="single" w:sz="4" w:space="0" w:color="000000"/>
              <w:left w:val="nil"/>
              <w:bottom w:val="nil"/>
              <w:right w:val="nil"/>
            </w:tcBorders>
          </w:tcPr>
          <w:p w:rsidR="00D0456E" w:rsidRDefault="00927C2A">
            <w:pPr>
              <w:spacing w:after="0" w:line="259" w:lineRule="auto"/>
              <w:ind w:left="495" w:firstLine="0"/>
              <w:jc w:val="left"/>
            </w:pPr>
            <w:r>
              <w:t xml:space="preserve">$10,000 </w:t>
            </w:r>
          </w:p>
        </w:tc>
        <w:tc>
          <w:tcPr>
            <w:tcW w:w="2865" w:type="dxa"/>
            <w:tcBorders>
              <w:top w:val="single" w:sz="4" w:space="0" w:color="000000"/>
              <w:left w:val="nil"/>
              <w:bottom w:val="nil"/>
              <w:right w:val="nil"/>
            </w:tcBorders>
          </w:tcPr>
          <w:p w:rsidR="00D0456E" w:rsidRDefault="00927C2A">
            <w:pPr>
              <w:spacing w:after="0" w:line="259" w:lineRule="auto"/>
              <w:ind w:left="0" w:firstLine="0"/>
              <w:jc w:val="left"/>
            </w:pPr>
            <w:r>
              <w:t xml:space="preserve">($10,000/$16,000) × $5,075 </w:t>
            </w:r>
          </w:p>
        </w:tc>
        <w:tc>
          <w:tcPr>
            <w:tcW w:w="1166" w:type="dxa"/>
            <w:tcBorders>
              <w:top w:val="single" w:sz="4" w:space="0" w:color="000000"/>
              <w:left w:val="nil"/>
              <w:bottom w:val="nil"/>
              <w:right w:val="nil"/>
            </w:tcBorders>
          </w:tcPr>
          <w:p w:rsidR="00D0456E" w:rsidRDefault="00927C2A">
            <w:pPr>
              <w:spacing w:after="0" w:line="259" w:lineRule="auto"/>
              <w:ind w:left="159" w:firstLine="0"/>
              <w:jc w:val="left"/>
            </w:pPr>
            <w:r>
              <w:t xml:space="preserve">$3,172 </w:t>
            </w:r>
          </w:p>
        </w:tc>
      </w:tr>
      <w:tr w:rsidR="00D0456E">
        <w:trPr>
          <w:trHeight w:val="253"/>
        </w:trPr>
        <w:tc>
          <w:tcPr>
            <w:tcW w:w="1150" w:type="dxa"/>
            <w:tcBorders>
              <w:top w:val="nil"/>
              <w:left w:val="nil"/>
              <w:bottom w:val="nil"/>
              <w:right w:val="nil"/>
            </w:tcBorders>
          </w:tcPr>
          <w:p w:rsidR="00D0456E" w:rsidRDefault="00927C2A">
            <w:pPr>
              <w:spacing w:after="0" w:line="259" w:lineRule="auto"/>
              <w:ind w:left="130" w:firstLine="0"/>
              <w:jc w:val="left"/>
            </w:pPr>
            <w:r>
              <w:t xml:space="preserve">Sub1  </w:t>
            </w:r>
          </w:p>
        </w:tc>
        <w:tc>
          <w:tcPr>
            <w:tcW w:w="1944" w:type="dxa"/>
            <w:tcBorders>
              <w:top w:val="nil"/>
              <w:left w:val="nil"/>
              <w:bottom w:val="nil"/>
              <w:right w:val="nil"/>
            </w:tcBorders>
          </w:tcPr>
          <w:p w:rsidR="00D0456E" w:rsidRDefault="00927C2A">
            <w:pPr>
              <w:spacing w:after="0" w:line="259" w:lineRule="auto"/>
              <w:ind w:left="364" w:firstLine="0"/>
              <w:jc w:val="center"/>
            </w:pPr>
            <w:r>
              <w:t xml:space="preserve">–0– </w:t>
            </w:r>
          </w:p>
        </w:tc>
        <w:tc>
          <w:tcPr>
            <w:tcW w:w="2865" w:type="dxa"/>
            <w:tcBorders>
              <w:top w:val="nil"/>
              <w:left w:val="nil"/>
              <w:bottom w:val="nil"/>
              <w:right w:val="nil"/>
            </w:tcBorders>
          </w:tcPr>
          <w:p w:rsidR="00D0456E" w:rsidRDefault="00927C2A">
            <w:pPr>
              <w:spacing w:after="0" w:line="259" w:lineRule="auto"/>
              <w:ind w:left="0" w:right="169" w:firstLine="0"/>
              <w:jc w:val="right"/>
            </w:pPr>
            <w:r>
              <w:t xml:space="preserve">–0– </w:t>
            </w:r>
          </w:p>
        </w:tc>
        <w:tc>
          <w:tcPr>
            <w:tcW w:w="1166" w:type="dxa"/>
            <w:tcBorders>
              <w:top w:val="nil"/>
              <w:left w:val="nil"/>
              <w:bottom w:val="nil"/>
              <w:right w:val="nil"/>
            </w:tcBorders>
          </w:tcPr>
          <w:p w:rsidR="00D0456E" w:rsidRDefault="00927C2A">
            <w:pPr>
              <w:spacing w:after="0" w:line="259" w:lineRule="auto"/>
              <w:ind w:left="250" w:firstLine="0"/>
              <w:jc w:val="center"/>
            </w:pPr>
            <w:r>
              <w:t xml:space="preserve">–0– </w:t>
            </w:r>
          </w:p>
        </w:tc>
      </w:tr>
      <w:tr w:rsidR="00D0456E">
        <w:trPr>
          <w:trHeight w:val="253"/>
        </w:trPr>
        <w:tc>
          <w:tcPr>
            <w:tcW w:w="1150" w:type="dxa"/>
            <w:tcBorders>
              <w:top w:val="nil"/>
              <w:left w:val="nil"/>
              <w:bottom w:val="nil"/>
              <w:right w:val="nil"/>
            </w:tcBorders>
          </w:tcPr>
          <w:p w:rsidR="00D0456E" w:rsidRDefault="00927C2A">
            <w:pPr>
              <w:spacing w:after="0" w:line="259" w:lineRule="auto"/>
              <w:ind w:left="130" w:firstLine="0"/>
              <w:jc w:val="left"/>
            </w:pPr>
            <w:r>
              <w:t xml:space="preserve">Sub2  </w:t>
            </w:r>
          </w:p>
        </w:tc>
        <w:tc>
          <w:tcPr>
            <w:tcW w:w="1944" w:type="dxa"/>
            <w:tcBorders>
              <w:top w:val="nil"/>
              <w:left w:val="nil"/>
              <w:bottom w:val="nil"/>
              <w:right w:val="nil"/>
            </w:tcBorders>
          </w:tcPr>
          <w:p w:rsidR="00D0456E" w:rsidRDefault="00927C2A">
            <w:pPr>
              <w:spacing w:after="0" w:line="259" w:lineRule="auto"/>
              <w:ind w:left="198" w:firstLine="0"/>
              <w:jc w:val="center"/>
            </w:pPr>
            <w:r>
              <w:t xml:space="preserve">4,000 </w:t>
            </w:r>
          </w:p>
        </w:tc>
        <w:tc>
          <w:tcPr>
            <w:tcW w:w="2865" w:type="dxa"/>
            <w:tcBorders>
              <w:top w:val="nil"/>
              <w:left w:val="nil"/>
              <w:bottom w:val="nil"/>
              <w:right w:val="nil"/>
            </w:tcBorders>
          </w:tcPr>
          <w:p w:rsidR="00D0456E" w:rsidRDefault="00927C2A">
            <w:pPr>
              <w:spacing w:after="0" w:line="259" w:lineRule="auto"/>
              <w:ind w:left="108" w:firstLine="0"/>
              <w:jc w:val="left"/>
            </w:pPr>
            <w:r>
              <w:t xml:space="preserve">($4,000/$16,000) × $5,075 </w:t>
            </w:r>
          </w:p>
        </w:tc>
        <w:tc>
          <w:tcPr>
            <w:tcW w:w="1166" w:type="dxa"/>
            <w:tcBorders>
              <w:top w:val="nil"/>
              <w:left w:val="nil"/>
              <w:bottom w:val="nil"/>
              <w:right w:val="nil"/>
            </w:tcBorders>
          </w:tcPr>
          <w:p w:rsidR="00D0456E" w:rsidRDefault="00927C2A">
            <w:pPr>
              <w:spacing w:after="0" w:line="259" w:lineRule="auto"/>
              <w:ind w:left="85" w:firstLine="0"/>
              <w:jc w:val="center"/>
            </w:pPr>
            <w:r>
              <w:t xml:space="preserve">1,269 </w:t>
            </w:r>
          </w:p>
        </w:tc>
      </w:tr>
      <w:tr w:rsidR="00D0456E">
        <w:trPr>
          <w:trHeight w:val="254"/>
        </w:trPr>
        <w:tc>
          <w:tcPr>
            <w:tcW w:w="1150" w:type="dxa"/>
            <w:tcBorders>
              <w:top w:val="nil"/>
              <w:left w:val="nil"/>
              <w:bottom w:val="nil"/>
              <w:right w:val="nil"/>
            </w:tcBorders>
          </w:tcPr>
          <w:p w:rsidR="00D0456E" w:rsidRDefault="00927C2A">
            <w:pPr>
              <w:spacing w:after="0" w:line="259" w:lineRule="auto"/>
              <w:ind w:left="130" w:firstLine="0"/>
              <w:jc w:val="left"/>
            </w:pPr>
            <w:r>
              <w:t xml:space="preserve">Sub3  </w:t>
            </w:r>
          </w:p>
        </w:tc>
        <w:tc>
          <w:tcPr>
            <w:tcW w:w="1944" w:type="dxa"/>
            <w:tcBorders>
              <w:top w:val="nil"/>
              <w:left w:val="nil"/>
              <w:bottom w:val="nil"/>
              <w:right w:val="nil"/>
            </w:tcBorders>
          </w:tcPr>
          <w:p w:rsidR="00D0456E" w:rsidRDefault="00927C2A">
            <w:pPr>
              <w:spacing w:after="0" w:line="259" w:lineRule="auto"/>
              <w:ind w:left="493" w:firstLine="0"/>
              <w:jc w:val="left"/>
            </w:pPr>
            <w:r>
              <w:rPr>
                <w:u w:val="single" w:color="000000"/>
              </w:rPr>
              <w:t xml:space="preserve">    2,000</w:t>
            </w:r>
            <w:r>
              <w:t xml:space="preserve"> </w:t>
            </w:r>
          </w:p>
        </w:tc>
        <w:tc>
          <w:tcPr>
            <w:tcW w:w="2865" w:type="dxa"/>
            <w:tcBorders>
              <w:top w:val="nil"/>
              <w:left w:val="nil"/>
              <w:bottom w:val="nil"/>
              <w:right w:val="nil"/>
            </w:tcBorders>
          </w:tcPr>
          <w:p w:rsidR="00D0456E" w:rsidRDefault="00927C2A">
            <w:pPr>
              <w:spacing w:after="0" w:line="259" w:lineRule="auto"/>
              <w:ind w:left="108" w:firstLine="0"/>
              <w:jc w:val="left"/>
            </w:pPr>
            <w:r>
              <w:t xml:space="preserve">($2,000/$16,000) × $5,075 </w:t>
            </w:r>
          </w:p>
        </w:tc>
        <w:tc>
          <w:tcPr>
            <w:tcW w:w="1166" w:type="dxa"/>
            <w:tcBorders>
              <w:top w:val="nil"/>
              <w:left w:val="nil"/>
              <w:bottom w:val="nil"/>
              <w:right w:val="nil"/>
            </w:tcBorders>
          </w:tcPr>
          <w:p w:rsidR="00D0456E" w:rsidRDefault="00927C2A">
            <w:pPr>
              <w:spacing w:after="0" w:line="259" w:lineRule="auto"/>
              <w:ind w:left="158" w:firstLine="0"/>
              <w:jc w:val="left"/>
            </w:pPr>
            <w:r>
              <w:rPr>
                <w:u w:val="single" w:color="000000"/>
              </w:rPr>
              <w:t xml:space="preserve">     634</w:t>
            </w:r>
            <w:r>
              <w:t xml:space="preserve"> </w:t>
            </w:r>
          </w:p>
        </w:tc>
      </w:tr>
      <w:tr w:rsidR="00D0456E">
        <w:trPr>
          <w:trHeight w:val="333"/>
        </w:trPr>
        <w:tc>
          <w:tcPr>
            <w:tcW w:w="1150" w:type="dxa"/>
            <w:tcBorders>
              <w:top w:val="nil"/>
              <w:left w:val="nil"/>
              <w:bottom w:val="single" w:sz="4" w:space="0" w:color="000000"/>
              <w:right w:val="nil"/>
            </w:tcBorders>
          </w:tcPr>
          <w:p w:rsidR="00D0456E" w:rsidRDefault="00927C2A">
            <w:pPr>
              <w:spacing w:after="0" w:line="259" w:lineRule="auto"/>
              <w:ind w:left="130" w:firstLine="0"/>
              <w:jc w:val="left"/>
            </w:pPr>
            <w:r>
              <w:t xml:space="preserve">Total  </w:t>
            </w:r>
          </w:p>
        </w:tc>
        <w:tc>
          <w:tcPr>
            <w:tcW w:w="1944" w:type="dxa"/>
            <w:tcBorders>
              <w:top w:val="nil"/>
              <w:left w:val="nil"/>
              <w:bottom w:val="single" w:sz="4" w:space="0" w:color="000000"/>
              <w:right w:val="nil"/>
            </w:tcBorders>
          </w:tcPr>
          <w:p w:rsidR="00D0456E" w:rsidRDefault="00927C2A">
            <w:pPr>
              <w:spacing w:after="0" w:line="259" w:lineRule="auto"/>
              <w:ind w:left="0" w:right="23" w:firstLine="0"/>
              <w:jc w:val="center"/>
            </w:pPr>
            <w:r>
              <w:rPr>
                <w:u w:val="double" w:color="000000"/>
              </w:rPr>
              <w:t>$16,000</w:t>
            </w:r>
            <w:r>
              <w:t xml:space="preserve">  </w:t>
            </w:r>
          </w:p>
        </w:tc>
        <w:tc>
          <w:tcPr>
            <w:tcW w:w="2865" w:type="dxa"/>
            <w:tcBorders>
              <w:top w:val="nil"/>
              <w:left w:val="nil"/>
              <w:bottom w:val="single" w:sz="4" w:space="0" w:color="000000"/>
              <w:right w:val="nil"/>
            </w:tcBorders>
          </w:tcPr>
          <w:p w:rsidR="00D0456E" w:rsidRDefault="00927C2A">
            <w:pPr>
              <w:spacing w:after="0" w:line="259" w:lineRule="auto"/>
              <w:ind w:left="1151" w:firstLine="0"/>
              <w:jc w:val="left"/>
            </w:pPr>
            <w:r>
              <w:t xml:space="preserve"> </w:t>
            </w:r>
          </w:p>
        </w:tc>
        <w:tc>
          <w:tcPr>
            <w:tcW w:w="1166" w:type="dxa"/>
            <w:tcBorders>
              <w:top w:val="nil"/>
              <w:left w:val="nil"/>
              <w:bottom w:val="single" w:sz="4" w:space="0" w:color="000000"/>
              <w:right w:val="nil"/>
            </w:tcBorders>
          </w:tcPr>
          <w:p w:rsidR="00D0456E" w:rsidRDefault="00927C2A">
            <w:pPr>
              <w:spacing w:after="0" w:line="259" w:lineRule="auto"/>
              <w:ind w:left="158" w:firstLine="0"/>
              <w:jc w:val="left"/>
            </w:pPr>
            <w:r>
              <w:rPr>
                <w:u w:val="double" w:color="000000"/>
              </w:rPr>
              <w:t>$5,075</w:t>
            </w:r>
            <w:r>
              <w:t xml:space="preserve"> </w:t>
            </w:r>
          </w:p>
        </w:tc>
      </w:tr>
    </w:tbl>
    <w:p w:rsidR="00D0456E" w:rsidRDefault="00927C2A">
      <w:pPr>
        <w:spacing w:after="0" w:line="259" w:lineRule="auto"/>
        <w:ind w:left="0" w:firstLine="0"/>
        <w:jc w:val="left"/>
      </w:pPr>
      <w:r>
        <w:t xml:space="preserve"> </w:t>
      </w:r>
    </w:p>
    <w:p w:rsidR="00D0456E" w:rsidRDefault="00927C2A">
      <w:pPr>
        <w:numPr>
          <w:ilvl w:val="0"/>
          <w:numId w:val="11"/>
        </w:numPr>
        <w:spacing w:after="193"/>
        <w:ind w:right="43" w:hanging="719"/>
      </w:pPr>
      <w:r>
        <w:t>(LO 6) Upon acquiring a subsidiary, the parent corporation records a stock basis on its tax balance sheet equal to the acquisition price. At the end of every consolidated return year, the parent records one or more adjustments to this stock basis, as in th</w:t>
      </w:r>
      <w:r>
        <w:t xml:space="preserve">e financial accounting “equity” method. This treatment prevents double taxation. </w:t>
      </w:r>
    </w:p>
    <w:p w:rsidR="00D0456E" w:rsidRDefault="00927C2A">
      <w:pPr>
        <w:spacing w:after="246"/>
        <w:ind w:left="715" w:right="43"/>
      </w:pPr>
      <w:r>
        <w:t>The adjustments are recorded on the last day of the consolidated return year or on the (earlier) date of the disposal of the shares. In this regard, positive adjustments to s</w:t>
      </w:r>
      <w:r>
        <w:t xml:space="preserve">tock basis include the following. </w:t>
      </w:r>
    </w:p>
    <w:p w:rsidR="00D0456E" w:rsidRDefault="00927C2A">
      <w:pPr>
        <w:numPr>
          <w:ilvl w:val="1"/>
          <w:numId w:val="12"/>
        </w:numPr>
        <w:spacing w:after="207"/>
        <w:ind w:right="43" w:hanging="360"/>
      </w:pPr>
      <w:r>
        <w:t xml:space="preserve">An allocable share of consolidated taxable income for the year. </w:t>
      </w:r>
    </w:p>
    <w:p w:rsidR="00D0456E" w:rsidRDefault="00927C2A">
      <w:pPr>
        <w:numPr>
          <w:ilvl w:val="1"/>
          <w:numId w:val="12"/>
        </w:numPr>
        <w:spacing w:after="212"/>
        <w:ind w:right="43" w:hanging="360"/>
      </w:pPr>
      <w:r>
        <w:t xml:space="preserve">An allocable share of the consolidated operating or capital loss of a subsidiary that could not utilize the loss through a carryback to a prior year. </w:t>
      </w:r>
    </w:p>
    <w:p w:rsidR="00D0456E" w:rsidRDefault="00927C2A">
      <w:pPr>
        <w:spacing w:after="244"/>
        <w:ind w:left="715" w:right="43"/>
      </w:pPr>
      <w:r>
        <w:t>Negat</w:t>
      </w:r>
      <w:r>
        <w:t xml:space="preserve">ive adjustments to stock basis include the following. </w:t>
      </w:r>
    </w:p>
    <w:p w:rsidR="00D0456E" w:rsidRDefault="00927C2A">
      <w:pPr>
        <w:numPr>
          <w:ilvl w:val="1"/>
          <w:numId w:val="12"/>
        </w:numPr>
        <w:spacing w:after="207"/>
        <w:ind w:right="43" w:hanging="360"/>
      </w:pPr>
      <w:r>
        <w:t xml:space="preserve">An allocable share of a consolidated taxable loss for the year. </w:t>
      </w:r>
    </w:p>
    <w:p w:rsidR="00D0456E" w:rsidRDefault="00927C2A">
      <w:pPr>
        <w:numPr>
          <w:ilvl w:val="1"/>
          <w:numId w:val="12"/>
        </w:numPr>
        <w:spacing w:after="247"/>
        <w:ind w:right="43" w:hanging="360"/>
      </w:pPr>
      <w:r>
        <w:t xml:space="preserve">An allocable share of any carryover operating or capital losses that are deducted on the consolidated return and have not previously reduced stock basis. </w:t>
      </w:r>
    </w:p>
    <w:p w:rsidR="00D0456E" w:rsidRDefault="00927C2A">
      <w:pPr>
        <w:numPr>
          <w:ilvl w:val="1"/>
          <w:numId w:val="12"/>
        </w:numPr>
        <w:spacing w:after="174"/>
        <w:ind w:right="43" w:hanging="360"/>
      </w:pPr>
      <w:r>
        <w:t xml:space="preserve">Dividends paid by the subsidiary to the parent out of the subsidiary’s E &amp; P. </w:t>
      </w:r>
    </w:p>
    <w:p w:rsidR="00D0456E" w:rsidRDefault="00927C2A">
      <w:pPr>
        <w:spacing w:after="235"/>
        <w:ind w:left="715" w:right="43"/>
      </w:pPr>
      <w:r>
        <w:t>Clifton’s basis at the</w:t>
      </w:r>
      <w:r>
        <w:t xml:space="preserve"> end of each year is computed as follows. </w:t>
      </w:r>
    </w:p>
    <w:p w:rsidR="00D0456E" w:rsidRDefault="00927C2A">
      <w:pPr>
        <w:numPr>
          <w:ilvl w:val="1"/>
          <w:numId w:val="11"/>
        </w:numPr>
        <w:spacing w:after="201"/>
        <w:ind w:right="43" w:hanging="776"/>
      </w:pPr>
      <w:r>
        <w:t xml:space="preserve">Year 1: $2,400,000 </w:t>
      </w:r>
      <w:r>
        <w:t>−</w:t>
      </w:r>
      <w:r>
        <w:t xml:space="preserve"> $250,000 = </w:t>
      </w:r>
      <w:r>
        <w:rPr>
          <w:u w:val="double" w:color="000000"/>
        </w:rPr>
        <w:t>$2,150,000</w:t>
      </w:r>
      <w:r>
        <w:t xml:space="preserve"> </w:t>
      </w:r>
    </w:p>
    <w:p w:rsidR="00D0456E" w:rsidRDefault="00927C2A">
      <w:pPr>
        <w:numPr>
          <w:ilvl w:val="1"/>
          <w:numId w:val="11"/>
        </w:numPr>
        <w:spacing w:after="202"/>
        <w:ind w:right="43" w:hanging="776"/>
      </w:pPr>
      <w:r>
        <w:t xml:space="preserve">Year 2: $2,150,000 + $400,000 </w:t>
      </w:r>
      <w:r>
        <w:t>−</w:t>
      </w:r>
      <w:r>
        <w:t xml:space="preserve"> $100,000 = </w:t>
      </w:r>
      <w:r>
        <w:rPr>
          <w:u w:val="double" w:color="000000"/>
        </w:rPr>
        <w:t>$2,450,000</w:t>
      </w:r>
      <w:r>
        <w:t xml:space="preserve"> </w:t>
      </w:r>
    </w:p>
    <w:p w:rsidR="00D0456E" w:rsidRDefault="00927C2A">
      <w:pPr>
        <w:numPr>
          <w:ilvl w:val="1"/>
          <w:numId w:val="11"/>
        </w:numPr>
        <w:ind w:right="43" w:hanging="776"/>
      </w:pPr>
      <w:r>
        <w:t xml:space="preserve">Year 3: $2,450,000 + $180,000 </w:t>
      </w:r>
      <w:r>
        <w:t>−</w:t>
      </w:r>
      <w:r>
        <w:t xml:space="preserve"> $300,000 = </w:t>
      </w:r>
      <w:r>
        <w:rPr>
          <w:u w:val="double" w:color="000000"/>
        </w:rPr>
        <w:t>$2,330,000</w:t>
      </w:r>
      <w:r>
        <w:t xml:space="preserve"> </w:t>
      </w:r>
    </w:p>
    <w:p w:rsidR="00D0456E" w:rsidRDefault="00927C2A">
      <w:pPr>
        <w:spacing w:after="0" w:line="259" w:lineRule="auto"/>
        <w:ind w:left="0" w:firstLine="0"/>
        <w:jc w:val="left"/>
      </w:pPr>
      <w:r>
        <w:t xml:space="preserve"> </w:t>
      </w:r>
    </w:p>
    <w:p w:rsidR="00D0456E" w:rsidRDefault="00927C2A">
      <w:pPr>
        <w:numPr>
          <w:ilvl w:val="0"/>
          <w:numId w:val="11"/>
        </w:numPr>
        <w:spacing w:after="210"/>
        <w:ind w:right="43" w:hanging="719"/>
      </w:pPr>
      <w:r>
        <w:t xml:space="preserve">(LO 8) In computing a consolidated NOL, remove any charitable contribution deductions and capital gain/loss, as those items have their own carryover periods. Any dividends received deduction remains in the NOL. </w:t>
      </w:r>
    </w:p>
    <w:p w:rsidR="00D0456E" w:rsidRDefault="00927C2A">
      <w:pPr>
        <w:tabs>
          <w:tab w:val="center" w:pos="1130"/>
          <w:tab w:val="center" w:pos="2489"/>
          <w:tab w:val="right" w:pos="9773"/>
        </w:tabs>
        <w:ind w:left="0" w:firstLine="0"/>
        <w:jc w:val="left"/>
      </w:pPr>
      <w:r>
        <w:rPr>
          <w:rFonts w:ascii="Calibri" w:eastAsia="Calibri" w:hAnsi="Calibri" w:cs="Calibri"/>
        </w:rPr>
        <w:tab/>
      </w:r>
      <w:r>
        <w:t xml:space="preserve">  </w:t>
      </w:r>
      <w:r>
        <w:tab/>
        <w:t xml:space="preserve">Operating loss </w:t>
      </w:r>
      <w:r>
        <w:tab/>
        <w:t xml:space="preserve">$2,500,000 </w:t>
      </w:r>
    </w:p>
    <w:p w:rsidR="00D0456E" w:rsidRDefault="00927C2A">
      <w:pPr>
        <w:ind w:left="10" w:right="1136"/>
      </w:pPr>
      <w:r>
        <w:t xml:space="preserve">   Charitabl</w:t>
      </w:r>
      <w:r>
        <w:t xml:space="preserve">e contributions </w:t>
      </w:r>
      <w:r>
        <w:tab/>
        <w:t xml:space="preserve">+600,000    Net capital gain </w:t>
      </w:r>
      <w:r>
        <w:tab/>
      </w:r>
      <w:r>
        <w:rPr>
          <w:u w:val="single" w:color="000000"/>
        </w:rPr>
        <w:t>–1,100,000</w:t>
      </w:r>
      <w:r>
        <w:t xml:space="preserve">   Consolidated NOL </w:t>
      </w:r>
      <w:r>
        <w:tab/>
        <w:t xml:space="preserve"> </w:t>
      </w:r>
      <w:r>
        <w:rPr>
          <w:u w:val="double" w:color="000000"/>
        </w:rPr>
        <w:t>$2,000,000</w:t>
      </w:r>
      <w:r>
        <w:t xml:space="preserve"> </w:t>
      </w:r>
    </w:p>
    <w:p w:rsidR="00D0456E" w:rsidRDefault="00927C2A">
      <w:pPr>
        <w:spacing w:after="0" w:line="259" w:lineRule="auto"/>
        <w:ind w:left="0" w:firstLine="0"/>
        <w:jc w:val="left"/>
      </w:pPr>
      <w:r>
        <w:t xml:space="preserve"> </w:t>
      </w:r>
    </w:p>
    <w:p w:rsidR="00D0456E" w:rsidRDefault="00927C2A">
      <w:pPr>
        <w:numPr>
          <w:ilvl w:val="0"/>
          <w:numId w:val="11"/>
        </w:numPr>
        <w:spacing w:after="208"/>
        <w:ind w:right="43" w:hanging="719"/>
      </w:pPr>
      <w:r>
        <w:t>(LO 8) When a member leaves a consolidated return group, it takes with it the net operating loss carryforwards that are apportioned to it. Thus, assuming that SRLY and § 382 limitations do not restrict the deduction, Call reports a zero taxable income on i</w:t>
      </w:r>
      <w:r>
        <w:t xml:space="preserve">ts first two separate Forms 1120, and reports $100,000 on the third.  </w:t>
      </w:r>
    </w:p>
    <w:p w:rsidR="00D0456E" w:rsidRDefault="00927C2A">
      <w:pPr>
        <w:tabs>
          <w:tab w:val="center" w:pos="1130"/>
          <w:tab w:val="center" w:pos="3360"/>
          <w:tab w:val="right" w:pos="9773"/>
        </w:tabs>
        <w:spacing w:after="211"/>
        <w:ind w:left="0" w:firstLine="0"/>
        <w:jc w:val="left"/>
      </w:pPr>
      <w:r>
        <w:rPr>
          <w:rFonts w:ascii="Calibri" w:eastAsia="Calibri" w:hAnsi="Calibri" w:cs="Calibri"/>
        </w:rPr>
        <w:tab/>
      </w:r>
      <w:r>
        <w:t xml:space="preserve">  </w:t>
      </w:r>
      <w:r>
        <w:tab/>
        <w:t xml:space="preserve">NOLs carried out of the Put group </w:t>
      </w:r>
      <w:r>
        <w:tab/>
      </w:r>
      <w:r>
        <w:rPr>
          <w:u w:val="double" w:color="000000"/>
        </w:rPr>
        <w:t>$2,000,000</w:t>
      </w:r>
      <w:r>
        <w:t xml:space="preserve"> </w:t>
      </w:r>
    </w:p>
    <w:p w:rsidR="00D0456E" w:rsidRDefault="00927C2A">
      <w:pPr>
        <w:tabs>
          <w:tab w:val="center" w:pos="1130"/>
          <w:tab w:val="center" w:pos="3515"/>
          <w:tab w:val="center" w:pos="7071"/>
          <w:tab w:val="right" w:pos="9773"/>
        </w:tabs>
        <w:ind w:left="0" w:firstLine="0"/>
        <w:jc w:val="left"/>
      </w:pPr>
      <w:r>
        <w:rPr>
          <w:rFonts w:ascii="Calibri" w:eastAsia="Calibri" w:hAnsi="Calibri" w:cs="Calibri"/>
        </w:rPr>
        <w:tab/>
      </w:r>
      <w:r>
        <w:t xml:space="preserve">  </w:t>
      </w:r>
      <w:r>
        <w:tab/>
        <w:t xml:space="preserve">Used in year 1 after leaving the group </w:t>
      </w:r>
      <w:r>
        <w:tab/>
        <w:t xml:space="preserve"> </w:t>
      </w:r>
      <w:r>
        <w:tab/>
        <w:t xml:space="preserve">$   700,000 </w:t>
      </w:r>
    </w:p>
    <w:p w:rsidR="00D0456E" w:rsidRDefault="00927C2A">
      <w:pPr>
        <w:ind w:left="10" w:right="630"/>
      </w:pPr>
      <w:r>
        <w:t xml:space="preserve">  </w:t>
      </w:r>
      <w:r>
        <w:tab/>
        <w:t xml:space="preserve">Used in year 2 </w:t>
      </w:r>
      <w:r>
        <w:tab/>
        <w:t xml:space="preserve">700,000   </w:t>
      </w:r>
      <w:r>
        <w:tab/>
        <w:t xml:space="preserve">Used in year 3 </w:t>
      </w:r>
      <w:r>
        <w:tab/>
      </w:r>
      <w:r>
        <w:rPr>
          <w:u w:val="single" w:color="000000"/>
        </w:rPr>
        <w:t xml:space="preserve">     600,000</w:t>
      </w:r>
      <w:r>
        <w:t xml:space="preserve"> </w:t>
      </w:r>
    </w:p>
    <w:p w:rsidR="00D0456E" w:rsidRDefault="00927C2A">
      <w:pPr>
        <w:tabs>
          <w:tab w:val="center" w:pos="1130"/>
          <w:tab w:val="center" w:pos="3593"/>
          <w:tab w:val="right" w:pos="9773"/>
        </w:tabs>
        <w:spacing w:after="182"/>
        <w:ind w:left="0" w:firstLine="0"/>
        <w:jc w:val="left"/>
      </w:pPr>
      <w:r>
        <w:rPr>
          <w:rFonts w:ascii="Calibri" w:eastAsia="Calibri" w:hAnsi="Calibri" w:cs="Calibri"/>
        </w:rPr>
        <w:tab/>
      </w:r>
      <w:r>
        <w:t xml:space="preserve">  </w:t>
      </w:r>
      <w:r>
        <w:tab/>
        <w:t>Total NOL u</w:t>
      </w:r>
      <w:r>
        <w:t xml:space="preserve">sed after leaving the group </w:t>
      </w:r>
      <w:r>
        <w:tab/>
      </w:r>
      <w:r>
        <w:rPr>
          <w:u w:val="double" w:color="000000"/>
        </w:rPr>
        <w:t>$2,000,000</w:t>
      </w:r>
      <w:r>
        <w:t xml:space="preserve"> </w:t>
      </w:r>
    </w:p>
    <w:p w:rsidR="00D0456E" w:rsidRDefault="00927C2A">
      <w:pPr>
        <w:spacing w:after="220"/>
        <w:ind w:left="720" w:right="43" w:hanging="720"/>
      </w:pPr>
      <w:r>
        <w:t xml:space="preserve">  The NOL carryforwards apportioned to Put remain with the parent and any newly formed consolidated group.  </w:t>
      </w:r>
    </w:p>
    <w:p w:rsidR="00D0456E" w:rsidRDefault="00927C2A">
      <w:pPr>
        <w:numPr>
          <w:ilvl w:val="0"/>
          <w:numId w:val="11"/>
        </w:numPr>
        <w:ind w:right="43" w:hanging="719"/>
      </w:pPr>
      <w:r>
        <w:t>(LO 9) Specifically, the following items are computed on a group basis with the usual C corporation tax ef</w:t>
      </w:r>
      <w:r>
        <w:t xml:space="preserve">fects applied to the combined group amounts. </w:t>
      </w:r>
    </w:p>
    <w:p w:rsidR="00D0456E" w:rsidRDefault="00927C2A">
      <w:pPr>
        <w:spacing w:line="259" w:lineRule="auto"/>
        <w:ind w:left="0" w:firstLine="0"/>
        <w:jc w:val="left"/>
      </w:pPr>
      <w:r>
        <w:t xml:space="preserve"> </w:t>
      </w:r>
    </w:p>
    <w:p w:rsidR="00D0456E" w:rsidRDefault="00927C2A">
      <w:pPr>
        <w:numPr>
          <w:ilvl w:val="1"/>
          <w:numId w:val="13"/>
        </w:numPr>
        <w:spacing w:after="186"/>
        <w:ind w:right="43" w:hanging="360"/>
      </w:pPr>
      <w:r>
        <w:t xml:space="preserve">Net capital gain/loss. </w:t>
      </w:r>
    </w:p>
    <w:p w:rsidR="00D0456E" w:rsidRDefault="00927C2A">
      <w:pPr>
        <w:numPr>
          <w:ilvl w:val="1"/>
          <w:numId w:val="13"/>
        </w:numPr>
        <w:spacing w:after="188"/>
        <w:ind w:right="43" w:hanging="360"/>
      </w:pPr>
      <w:r>
        <w:t xml:space="preserve">Section 1231 gain/loss. </w:t>
      </w:r>
    </w:p>
    <w:p w:rsidR="00D0456E" w:rsidRDefault="00927C2A">
      <w:pPr>
        <w:numPr>
          <w:ilvl w:val="1"/>
          <w:numId w:val="13"/>
        </w:numPr>
        <w:spacing w:after="187"/>
        <w:ind w:right="43" w:hanging="360"/>
      </w:pPr>
      <w:r>
        <w:t xml:space="preserve">Domestic production activities deduction. </w:t>
      </w:r>
    </w:p>
    <w:p w:rsidR="00D0456E" w:rsidRDefault="00927C2A">
      <w:pPr>
        <w:numPr>
          <w:ilvl w:val="1"/>
          <w:numId w:val="13"/>
        </w:numPr>
        <w:spacing w:after="186"/>
        <w:ind w:right="43" w:hanging="360"/>
      </w:pPr>
      <w:r>
        <w:t xml:space="preserve">Casualty/theft gain/loss. </w:t>
      </w:r>
    </w:p>
    <w:p w:rsidR="00D0456E" w:rsidRDefault="00927C2A">
      <w:pPr>
        <w:numPr>
          <w:ilvl w:val="1"/>
          <w:numId w:val="13"/>
        </w:numPr>
        <w:spacing w:after="187"/>
        <w:ind w:right="43" w:hanging="360"/>
      </w:pPr>
      <w:r>
        <w:t xml:space="preserve">Charitable contributions. </w:t>
      </w:r>
    </w:p>
    <w:p w:rsidR="00D0456E" w:rsidRDefault="00927C2A">
      <w:pPr>
        <w:numPr>
          <w:ilvl w:val="1"/>
          <w:numId w:val="13"/>
        </w:numPr>
        <w:spacing w:after="187"/>
        <w:ind w:right="43" w:hanging="360"/>
      </w:pPr>
      <w:r>
        <w:t xml:space="preserve">Dividends received deduction. </w:t>
      </w:r>
    </w:p>
    <w:p w:rsidR="00D0456E" w:rsidRDefault="00927C2A">
      <w:pPr>
        <w:numPr>
          <w:ilvl w:val="1"/>
          <w:numId w:val="13"/>
        </w:numPr>
        <w:spacing w:after="186"/>
        <w:ind w:right="43" w:hanging="360"/>
      </w:pPr>
      <w:r>
        <w:t xml:space="preserve">Net operating loss. </w:t>
      </w:r>
    </w:p>
    <w:p w:rsidR="00D0456E" w:rsidRDefault="00927C2A">
      <w:pPr>
        <w:numPr>
          <w:ilvl w:val="1"/>
          <w:numId w:val="13"/>
        </w:numPr>
        <w:spacing w:after="154"/>
        <w:ind w:right="43" w:hanging="360"/>
      </w:pPr>
      <w:r>
        <w:t xml:space="preserve">AMT adjustments and preferences. </w:t>
      </w:r>
    </w:p>
    <w:p w:rsidR="00D0456E" w:rsidRDefault="00927C2A">
      <w:pPr>
        <w:spacing w:after="192"/>
        <w:ind w:left="715" w:right="43"/>
      </w:pPr>
      <w:r>
        <w:t>Following the computational procedure, all of the group basis items are removed from each member’s separate taxable income. Then, using the consolidated taxable income figure to that point, statutory limitations are applie</w:t>
      </w:r>
      <w:r>
        <w:t xml:space="preserve">d to determine group-basis gains, losses, income, and deductions. </w:t>
      </w:r>
    </w:p>
    <w:p w:rsidR="00D0456E" w:rsidRDefault="00927C2A">
      <w:pPr>
        <w:spacing w:after="220"/>
        <w:ind w:left="715" w:right="43"/>
      </w:pPr>
      <w:r>
        <w:t>Computing these items on a group basis does not always result in a reduction of aggregate group taxable income. Nevertheless, the possibility of using the group basis computations may affec</w:t>
      </w:r>
      <w:r>
        <w:t>t transactions by group members late in the tax year when it becomes apparent that planning opportunities may be available. It also may encourage the taxpayer to seek out fellow group members that bring complementary tax attributes to the consolidated retu</w:t>
      </w:r>
      <w:r>
        <w:t xml:space="preserve">rn. </w:t>
      </w:r>
    </w:p>
    <w:p w:rsidR="00D0456E" w:rsidRDefault="00927C2A">
      <w:pPr>
        <w:spacing w:after="0" w:line="259" w:lineRule="auto"/>
        <w:ind w:left="0" w:firstLine="0"/>
        <w:jc w:val="left"/>
      </w:pPr>
      <w:r>
        <w:t xml:space="preserve"> </w:t>
      </w:r>
      <w:r>
        <w:tab/>
        <w:t xml:space="preserve"> </w:t>
      </w:r>
    </w:p>
    <w:p w:rsidR="00D0456E" w:rsidRDefault="00927C2A">
      <w:pPr>
        <w:numPr>
          <w:ilvl w:val="1"/>
          <w:numId w:val="11"/>
        </w:numPr>
        <w:spacing w:after="115"/>
        <w:ind w:right="43" w:hanging="776"/>
      </w:pPr>
      <w:r>
        <w:t xml:space="preserve">Parent’s separate taxable income is $105,000 computed as follows. </w:t>
      </w:r>
    </w:p>
    <w:p w:rsidR="00D0456E" w:rsidRDefault="00927C2A">
      <w:pPr>
        <w:spacing w:after="192"/>
        <w:ind w:left="1450" w:right="43"/>
      </w:pPr>
      <w:r>
        <w:t xml:space="preserve">Income from operations $100,000 + Capital gain income $10,000 </w:t>
      </w:r>
      <w:r>
        <w:t>−</w:t>
      </w:r>
      <w:r>
        <w:t xml:space="preserve"> Charitable contributions $5,000 = Taxable income $105,000  </w:t>
      </w:r>
    </w:p>
    <w:p w:rsidR="00D0456E" w:rsidRDefault="00927C2A">
      <w:pPr>
        <w:numPr>
          <w:ilvl w:val="1"/>
          <w:numId w:val="11"/>
        </w:numPr>
        <w:ind w:right="43" w:hanging="776"/>
      </w:pPr>
      <w:r>
        <w:t>SubCo’s separate taxable income is $45,000. Corporations</w:t>
      </w:r>
      <w:r>
        <w:t xml:space="preserve"> are not allowed a deduction for capital losses; the losses may only offset capital gains. </w:t>
      </w:r>
    </w:p>
    <w:p w:rsidR="00D0456E" w:rsidRDefault="00927C2A">
      <w:pPr>
        <w:spacing w:after="0" w:line="259" w:lineRule="auto"/>
        <w:ind w:left="720" w:firstLine="0"/>
        <w:jc w:val="left"/>
      </w:pPr>
      <w:r>
        <w:t xml:space="preserve"> </w:t>
      </w:r>
    </w:p>
    <w:p w:rsidR="00D0456E" w:rsidRDefault="00927C2A">
      <w:pPr>
        <w:numPr>
          <w:ilvl w:val="1"/>
          <w:numId w:val="11"/>
        </w:numPr>
        <w:ind w:right="43" w:hanging="776"/>
      </w:pPr>
      <w:r>
        <w:t xml:space="preserve">Using the worksheet approach presented in text Exhibit 8.3, the $148,000 consolidated taxable income is computed as follows.  </w:t>
      </w:r>
    </w:p>
    <w:p w:rsidR="00D0456E" w:rsidRDefault="00927C2A">
      <w:pPr>
        <w:spacing w:after="0" w:line="259" w:lineRule="auto"/>
        <w:ind w:left="0" w:firstLine="0"/>
        <w:jc w:val="left"/>
      </w:pPr>
      <w:r>
        <w:t xml:space="preserve"> </w:t>
      </w:r>
    </w:p>
    <w:p w:rsidR="00D0456E" w:rsidRDefault="00927C2A">
      <w:pPr>
        <w:spacing w:after="3" w:line="259" w:lineRule="auto"/>
        <w:ind w:right="417"/>
        <w:jc w:val="center"/>
      </w:pPr>
      <w:r>
        <w:rPr>
          <w:b/>
        </w:rPr>
        <w:t xml:space="preserve">Consolidated Taxable Income Worksheet </w:t>
      </w:r>
    </w:p>
    <w:p w:rsidR="00D0456E" w:rsidRDefault="00927C2A">
      <w:pPr>
        <w:spacing w:after="0" w:line="259" w:lineRule="auto"/>
        <w:ind w:left="690" w:right="-63" w:firstLine="0"/>
        <w:jc w:val="center"/>
      </w:pPr>
      <w:r>
        <w:rPr>
          <w:rFonts w:ascii="Calibri" w:eastAsia="Calibri" w:hAnsi="Calibri" w:cs="Calibri"/>
          <w:noProof/>
        </w:rPr>
        <mc:AlternateContent>
          <mc:Choice Requires="wpg">
            <w:drawing>
              <wp:inline distT="0" distB="0" distL="0" distR="0">
                <wp:extent cx="5810250" cy="9906"/>
                <wp:effectExtent l="0" t="0" r="0" b="0"/>
                <wp:docPr id="40549" name="Group 40549"/>
                <wp:cNvGraphicFramePr/>
                <a:graphic xmlns:a="http://schemas.openxmlformats.org/drawingml/2006/main">
                  <a:graphicData uri="http://schemas.microsoft.com/office/word/2010/wordprocessingGroup">
                    <wpg:wgp>
                      <wpg:cNvGrpSpPr/>
                      <wpg:grpSpPr>
                        <a:xfrm>
                          <a:off x="0" y="0"/>
                          <a:ext cx="5810250" cy="9906"/>
                          <a:chOff x="0" y="0"/>
                          <a:chExt cx="5810250" cy="9906"/>
                        </a:xfrm>
                      </wpg:grpSpPr>
                      <wps:wsp>
                        <wps:cNvPr id="1726" name="Shape 1726"/>
                        <wps:cNvSpPr/>
                        <wps:spPr>
                          <a:xfrm>
                            <a:off x="0" y="0"/>
                            <a:ext cx="5810250" cy="9906"/>
                          </a:xfrm>
                          <a:custGeom>
                            <a:avLst/>
                            <a:gdLst/>
                            <a:ahLst/>
                            <a:cxnLst/>
                            <a:rect l="0" t="0" r="0" b="0"/>
                            <a:pathLst>
                              <a:path w="5810250" h="9906">
                                <a:moveTo>
                                  <a:pt x="0" y="9906"/>
                                </a:moveTo>
                                <a:lnTo>
                                  <a:pt x="5810250" y="0"/>
                                </a:lnTo>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0549" style="width:457.5pt;height:0.779999pt;mso-position-horizontal-relative:char;mso-position-vertical-relative:line" coordsize="58102,99">
                <v:shape id="Shape 1726" style="position:absolute;width:58102;height:99;left:0;top:0;" coordsize="5810250,9906" path="m0,9906l5810250,0">
                  <v:stroke weight="0.75pt" endcap="round" joinstyle="round" on="true" color="#000000"/>
                  <v:fill on="false" color="#000000" opacity="0"/>
                </v:shape>
              </v:group>
            </w:pict>
          </mc:Fallback>
        </mc:AlternateContent>
      </w:r>
      <w:r>
        <w:t xml:space="preserve"> </w:t>
      </w:r>
    </w:p>
    <w:p w:rsidR="00D0456E" w:rsidRDefault="00927C2A">
      <w:pPr>
        <w:pStyle w:val="Heading1"/>
        <w:tabs>
          <w:tab w:val="center" w:pos="770"/>
          <w:tab w:val="center" w:pos="3989"/>
          <w:tab w:val="center" w:pos="6339"/>
          <w:tab w:val="right" w:pos="9773"/>
        </w:tabs>
        <w:ind w:left="0" w:firstLine="0"/>
      </w:pPr>
      <w:r>
        <w:rPr>
          <w:rFonts w:ascii="Calibri" w:eastAsia="Calibri" w:hAnsi="Calibri" w:cs="Calibri"/>
          <w:b w:val="0"/>
        </w:rPr>
        <w:tab/>
      </w:r>
      <w:r>
        <w:t xml:space="preserve">                                 </w:t>
      </w:r>
      <w:r>
        <w:tab/>
        <w:t xml:space="preserve">Separate Taxable Income   </w:t>
      </w:r>
      <w:r>
        <w:tab/>
        <w:t xml:space="preserve">Adjustments </w:t>
      </w:r>
      <w:r>
        <w:tab/>
        <w:t xml:space="preserve">Post-Adjustment Amounts  </w:t>
      </w:r>
    </w:p>
    <w:p w:rsidR="00D0456E" w:rsidRDefault="00927C2A">
      <w:pPr>
        <w:spacing w:after="75" w:line="259" w:lineRule="auto"/>
        <w:ind w:left="690" w:right="-63" w:firstLine="0"/>
        <w:jc w:val="left"/>
      </w:pPr>
      <w:r>
        <w:rPr>
          <w:rFonts w:ascii="Calibri" w:eastAsia="Calibri" w:hAnsi="Calibri" w:cs="Calibri"/>
          <w:noProof/>
        </w:rPr>
        <mc:AlternateContent>
          <mc:Choice Requires="wpg">
            <w:drawing>
              <wp:inline distT="0" distB="0" distL="0" distR="0">
                <wp:extent cx="5810250" cy="22098"/>
                <wp:effectExtent l="0" t="0" r="0" b="0"/>
                <wp:docPr id="40551" name="Group 40551"/>
                <wp:cNvGraphicFramePr/>
                <a:graphic xmlns:a="http://schemas.openxmlformats.org/drawingml/2006/main">
                  <a:graphicData uri="http://schemas.microsoft.com/office/word/2010/wordprocessingGroup">
                    <wpg:wgp>
                      <wpg:cNvGrpSpPr/>
                      <wpg:grpSpPr>
                        <a:xfrm>
                          <a:off x="0" y="0"/>
                          <a:ext cx="5810250" cy="22098"/>
                          <a:chOff x="0" y="0"/>
                          <a:chExt cx="5810250" cy="22098"/>
                        </a:xfrm>
                      </wpg:grpSpPr>
                      <wps:wsp>
                        <wps:cNvPr id="1727" name="Shape 1727"/>
                        <wps:cNvSpPr/>
                        <wps:spPr>
                          <a:xfrm>
                            <a:off x="0" y="0"/>
                            <a:ext cx="5810250" cy="22098"/>
                          </a:xfrm>
                          <a:custGeom>
                            <a:avLst/>
                            <a:gdLst/>
                            <a:ahLst/>
                            <a:cxnLst/>
                            <a:rect l="0" t="0" r="0" b="0"/>
                            <a:pathLst>
                              <a:path w="5810250" h="22098">
                                <a:moveTo>
                                  <a:pt x="0" y="0"/>
                                </a:moveTo>
                                <a:lnTo>
                                  <a:pt x="5810250" y="22098"/>
                                </a:lnTo>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0551" style="width:457.5pt;height:1.74001pt;mso-position-horizontal-relative:char;mso-position-vertical-relative:line" coordsize="58102,220">
                <v:shape id="Shape 1727" style="position:absolute;width:58102;height:220;left:0;top:0;" coordsize="5810250,22098" path="m0,0l5810250,22098">
                  <v:stroke weight="0.75pt" endcap="round" joinstyle="round" on="true" color="#000000"/>
                  <v:fill on="false" color="#000000" opacity="0"/>
                </v:shape>
              </v:group>
            </w:pict>
          </mc:Fallback>
        </mc:AlternateContent>
      </w:r>
    </w:p>
    <w:p w:rsidR="00D0456E" w:rsidRDefault="00927C2A">
      <w:pPr>
        <w:ind w:left="715" w:right="43"/>
      </w:pPr>
      <w:r>
        <w:t xml:space="preserve">Parent information                    $105,000                     </w:t>
      </w:r>
      <w:r>
        <w:t>−</w:t>
      </w:r>
      <w:r>
        <w:t xml:space="preserve">$10,000 </w:t>
      </w:r>
    </w:p>
    <w:p w:rsidR="00D0456E" w:rsidRDefault="00927C2A">
      <w:pPr>
        <w:tabs>
          <w:tab w:val="center" w:pos="6308"/>
        </w:tabs>
        <w:ind w:left="0" w:firstLine="0"/>
        <w:jc w:val="left"/>
      </w:pPr>
      <w:r>
        <w:t xml:space="preserve">                                  </w:t>
      </w:r>
      <w:r>
        <w:t xml:space="preserve">                              </w:t>
      </w:r>
      <w:r>
        <w:tab/>
        <w:t xml:space="preserve">(capital gain)   </w:t>
      </w:r>
    </w:p>
    <w:p w:rsidR="00D0456E" w:rsidRDefault="00927C2A">
      <w:pPr>
        <w:tabs>
          <w:tab w:val="center" w:pos="6256"/>
          <w:tab w:val="center" w:pos="8548"/>
        </w:tabs>
        <w:ind w:left="0" w:firstLine="0"/>
        <w:jc w:val="left"/>
      </w:pPr>
      <w:r>
        <w:t xml:space="preserve">                                                                      </w:t>
      </w:r>
      <w:r>
        <w:tab/>
        <w:t xml:space="preserve">+$5,000 </w:t>
      </w:r>
      <w:r>
        <w:tab/>
        <w:t xml:space="preserve">$100,000 </w:t>
      </w:r>
    </w:p>
    <w:p w:rsidR="00D0456E" w:rsidRDefault="00927C2A">
      <w:pPr>
        <w:tabs>
          <w:tab w:val="center" w:pos="6281"/>
          <w:tab w:val="center" w:pos="9232"/>
        </w:tabs>
        <w:spacing w:after="142"/>
        <w:ind w:left="0" w:firstLine="0"/>
        <w:jc w:val="left"/>
      </w:pPr>
      <w:r>
        <w:t xml:space="preserve">                                                               </w:t>
      </w:r>
      <w:r>
        <w:tab/>
        <w:t xml:space="preserve">(contribution)              </w:t>
      </w:r>
      <w:r>
        <w:tab/>
        <w:t xml:space="preserve">  </w:t>
      </w:r>
    </w:p>
    <w:p w:rsidR="00D0456E" w:rsidRDefault="00927C2A">
      <w:pPr>
        <w:tabs>
          <w:tab w:val="center" w:pos="2571"/>
          <w:tab w:val="center" w:pos="8657"/>
        </w:tabs>
        <w:spacing w:after="114"/>
        <w:ind w:left="0" w:firstLine="0"/>
        <w:jc w:val="left"/>
      </w:pPr>
      <w:r>
        <w:rPr>
          <w:rFonts w:ascii="Calibri" w:eastAsia="Calibri" w:hAnsi="Calibri" w:cs="Calibri"/>
        </w:rPr>
        <w:tab/>
      </w:r>
      <w:r>
        <w:t xml:space="preserve">Subsidiary information               45,000                                                              </w:t>
      </w:r>
      <w:r>
        <w:tab/>
        <w:t xml:space="preserve">45,000  </w:t>
      </w:r>
    </w:p>
    <w:p w:rsidR="00D0456E" w:rsidRDefault="00927C2A">
      <w:pPr>
        <w:ind w:left="715" w:right="43"/>
      </w:pPr>
      <w:r>
        <w:t xml:space="preserve">Group-basis transactions                   –0–                            +$8,000*  </w:t>
      </w:r>
    </w:p>
    <w:tbl>
      <w:tblPr>
        <w:tblStyle w:val="TableGrid"/>
        <w:tblW w:w="9292" w:type="dxa"/>
        <w:tblInd w:w="0" w:type="dxa"/>
        <w:tblCellMar>
          <w:top w:w="0" w:type="dxa"/>
          <w:left w:w="0" w:type="dxa"/>
          <w:bottom w:w="0" w:type="dxa"/>
          <w:right w:w="0" w:type="dxa"/>
        </w:tblCellMar>
        <w:tblLook w:val="04A0" w:firstRow="1" w:lastRow="0" w:firstColumn="1" w:lastColumn="0" w:noHBand="0" w:noVBand="1"/>
      </w:tblPr>
      <w:tblGrid>
        <w:gridCol w:w="5619"/>
        <w:gridCol w:w="3673"/>
      </w:tblGrid>
      <w:tr w:rsidR="00D0456E">
        <w:trPr>
          <w:trHeight w:val="226"/>
        </w:trPr>
        <w:tc>
          <w:tcPr>
            <w:tcW w:w="5619" w:type="dxa"/>
            <w:tcBorders>
              <w:top w:val="nil"/>
              <w:left w:val="nil"/>
              <w:bottom w:val="nil"/>
              <w:right w:val="nil"/>
            </w:tcBorders>
          </w:tcPr>
          <w:p w:rsidR="00D0456E" w:rsidRDefault="00927C2A">
            <w:pPr>
              <w:spacing w:after="0" w:line="259" w:lineRule="auto"/>
              <w:ind w:left="0" w:firstLine="0"/>
              <w:jc w:val="left"/>
            </w:pPr>
            <w:r>
              <w:t xml:space="preserve">                                                        </w:t>
            </w:r>
            <w:r>
              <w:t xml:space="preserve">        </w:t>
            </w:r>
            <w:r>
              <w:tab/>
              <w:t xml:space="preserve"> </w:t>
            </w:r>
          </w:p>
        </w:tc>
        <w:tc>
          <w:tcPr>
            <w:tcW w:w="3673" w:type="dxa"/>
            <w:tcBorders>
              <w:top w:val="nil"/>
              <w:left w:val="nil"/>
              <w:bottom w:val="nil"/>
              <w:right w:val="nil"/>
            </w:tcBorders>
          </w:tcPr>
          <w:p w:rsidR="00D0456E" w:rsidRDefault="00927C2A">
            <w:pPr>
              <w:spacing w:after="0" w:line="259" w:lineRule="auto"/>
              <w:ind w:left="55" w:firstLine="0"/>
              <w:jc w:val="left"/>
            </w:pPr>
            <w:r>
              <w:t xml:space="preserve">(capital gain)   </w:t>
            </w:r>
          </w:p>
        </w:tc>
      </w:tr>
      <w:tr w:rsidR="00D0456E">
        <w:trPr>
          <w:trHeight w:val="253"/>
        </w:trPr>
        <w:tc>
          <w:tcPr>
            <w:tcW w:w="5619" w:type="dxa"/>
            <w:tcBorders>
              <w:top w:val="nil"/>
              <w:left w:val="nil"/>
              <w:bottom w:val="nil"/>
              <w:right w:val="nil"/>
            </w:tcBorders>
          </w:tcPr>
          <w:p w:rsidR="00D0456E" w:rsidRDefault="00927C2A">
            <w:pPr>
              <w:spacing w:after="0" w:line="259" w:lineRule="auto"/>
              <w:ind w:left="0" w:firstLine="0"/>
              <w:jc w:val="left"/>
            </w:pPr>
            <w:r>
              <w:t xml:space="preserve">                                                                      </w:t>
            </w:r>
            <w:r>
              <w:tab/>
              <w:t xml:space="preserve"> </w:t>
            </w:r>
          </w:p>
        </w:tc>
        <w:tc>
          <w:tcPr>
            <w:tcW w:w="3673" w:type="dxa"/>
            <w:tcBorders>
              <w:top w:val="nil"/>
              <w:left w:val="nil"/>
              <w:bottom w:val="nil"/>
              <w:right w:val="nil"/>
            </w:tcBorders>
          </w:tcPr>
          <w:p w:rsidR="00D0456E" w:rsidRDefault="00927C2A">
            <w:pPr>
              <w:tabs>
                <w:tab w:val="center" w:pos="587"/>
                <w:tab w:val="center" w:pos="3044"/>
              </w:tabs>
              <w:spacing w:after="0" w:line="259" w:lineRule="auto"/>
              <w:ind w:left="0" w:firstLine="0"/>
              <w:jc w:val="left"/>
            </w:pPr>
            <w:r>
              <w:rPr>
                <w:rFonts w:ascii="Calibri" w:eastAsia="Calibri" w:hAnsi="Calibri" w:cs="Calibri"/>
              </w:rPr>
              <w:tab/>
            </w:r>
            <w:r>
              <w:t>−</w:t>
            </w:r>
            <w:r>
              <w:t xml:space="preserve">$5,000  </w:t>
            </w:r>
            <w:r>
              <w:tab/>
              <w:t xml:space="preserve">3,000 </w:t>
            </w:r>
          </w:p>
        </w:tc>
      </w:tr>
      <w:tr w:rsidR="00D0456E">
        <w:trPr>
          <w:trHeight w:val="313"/>
        </w:trPr>
        <w:tc>
          <w:tcPr>
            <w:tcW w:w="5619" w:type="dxa"/>
            <w:tcBorders>
              <w:top w:val="nil"/>
              <w:left w:val="nil"/>
              <w:bottom w:val="nil"/>
              <w:right w:val="nil"/>
            </w:tcBorders>
          </w:tcPr>
          <w:p w:rsidR="00D0456E" w:rsidRDefault="00927C2A">
            <w:pPr>
              <w:spacing w:after="0" w:line="259" w:lineRule="auto"/>
              <w:ind w:left="0" w:firstLine="0"/>
              <w:jc w:val="left"/>
            </w:pPr>
            <w:r>
              <w:t xml:space="preserve">                                                                 </w:t>
            </w:r>
            <w:r>
              <w:tab/>
              <w:t xml:space="preserve"> </w:t>
            </w:r>
          </w:p>
        </w:tc>
        <w:tc>
          <w:tcPr>
            <w:tcW w:w="3673" w:type="dxa"/>
            <w:tcBorders>
              <w:top w:val="nil"/>
              <w:left w:val="nil"/>
              <w:bottom w:val="nil"/>
              <w:right w:val="nil"/>
            </w:tcBorders>
          </w:tcPr>
          <w:p w:rsidR="00D0456E" w:rsidRDefault="00927C2A">
            <w:pPr>
              <w:tabs>
                <w:tab w:val="center" w:pos="3563"/>
              </w:tabs>
              <w:spacing w:after="0" w:line="259" w:lineRule="auto"/>
              <w:ind w:left="0" w:firstLine="0"/>
              <w:jc w:val="left"/>
            </w:pPr>
            <w:r>
              <w:t xml:space="preserve">(contribution)                            </w:t>
            </w:r>
            <w:r>
              <w:tab/>
              <w:t xml:space="preserve">  </w:t>
            </w:r>
          </w:p>
        </w:tc>
      </w:tr>
      <w:tr w:rsidR="00D0456E">
        <w:trPr>
          <w:trHeight w:val="373"/>
        </w:trPr>
        <w:tc>
          <w:tcPr>
            <w:tcW w:w="5619" w:type="dxa"/>
            <w:tcBorders>
              <w:top w:val="nil"/>
              <w:left w:val="nil"/>
              <w:bottom w:val="nil"/>
              <w:right w:val="nil"/>
            </w:tcBorders>
          </w:tcPr>
          <w:p w:rsidR="00D0456E" w:rsidRDefault="00927C2A">
            <w:pPr>
              <w:spacing w:after="0" w:line="259" w:lineRule="auto"/>
              <w:ind w:left="720" w:firstLine="0"/>
              <w:jc w:val="left"/>
            </w:pPr>
            <w:r>
              <w:t xml:space="preserve">Intercompany events                         –0–   </w:t>
            </w:r>
          </w:p>
        </w:tc>
        <w:tc>
          <w:tcPr>
            <w:tcW w:w="3673" w:type="dxa"/>
            <w:tcBorders>
              <w:top w:val="nil"/>
              <w:left w:val="nil"/>
              <w:bottom w:val="nil"/>
              <w:right w:val="nil"/>
            </w:tcBorders>
          </w:tcPr>
          <w:p w:rsidR="00D0456E" w:rsidRDefault="00927C2A">
            <w:pPr>
              <w:spacing w:after="0" w:line="259" w:lineRule="auto"/>
              <w:ind w:left="0" w:right="379" w:firstLine="0"/>
              <w:jc w:val="right"/>
            </w:pPr>
            <w:r>
              <w:rPr>
                <w:u w:val="single" w:color="000000"/>
              </w:rPr>
              <w:t xml:space="preserve">         –0–</w:t>
            </w:r>
            <w:r>
              <w:t xml:space="preserve"> </w:t>
            </w:r>
          </w:p>
        </w:tc>
      </w:tr>
      <w:tr w:rsidR="00D0456E">
        <w:trPr>
          <w:trHeight w:val="286"/>
        </w:trPr>
        <w:tc>
          <w:tcPr>
            <w:tcW w:w="5619" w:type="dxa"/>
            <w:tcBorders>
              <w:top w:val="nil"/>
              <w:left w:val="nil"/>
              <w:bottom w:val="nil"/>
              <w:right w:val="nil"/>
            </w:tcBorders>
          </w:tcPr>
          <w:p w:rsidR="00D0456E" w:rsidRDefault="00927C2A">
            <w:pPr>
              <w:spacing w:after="0" w:line="259" w:lineRule="auto"/>
              <w:ind w:left="720" w:firstLine="0"/>
              <w:jc w:val="left"/>
            </w:pPr>
            <w:r>
              <w:t xml:space="preserve">Consolidated taxable income      </w:t>
            </w:r>
          </w:p>
        </w:tc>
        <w:tc>
          <w:tcPr>
            <w:tcW w:w="3673" w:type="dxa"/>
            <w:tcBorders>
              <w:top w:val="nil"/>
              <w:left w:val="nil"/>
              <w:bottom w:val="nil"/>
              <w:right w:val="nil"/>
            </w:tcBorders>
          </w:tcPr>
          <w:p w:rsidR="00D0456E" w:rsidRDefault="00927C2A">
            <w:pPr>
              <w:spacing w:after="0" w:line="259" w:lineRule="auto"/>
              <w:ind w:left="0" w:right="382" w:firstLine="0"/>
              <w:jc w:val="right"/>
            </w:pPr>
            <w:r>
              <w:rPr>
                <w:u w:val="double" w:color="000000"/>
              </w:rPr>
              <w:t>$148,000</w:t>
            </w:r>
            <w:r>
              <w:t xml:space="preserve">  </w:t>
            </w:r>
          </w:p>
        </w:tc>
      </w:tr>
    </w:tbl>
    <w:p w:rsidR="00D0456E" w:rsidRDefault="00927C2A">
      <w:pPr>
        <w:tabs>
          <w:tab w:val="right" w:pos="9773"/>
        </w:tabs>
        <w:spacing w:after="0" w:line="259" w:lineRule="auto"/>
        <w:ind w:left="0" w:firstLine="0"/>
        <w:jc w:val="left"/>
      </w:pPr>
      <w:r>
        <w:t xml:space="preserve"> </w:t>
      </w:r>
      <w:r>
        <w:tab/>
      </w:r>
      <w:r>
        <w:rPr>
          <w:rFonts w:ascii="Calibri" w:eastAsia="Calibri" w:hAnsi="Calibri" w:cs="Calibri"/>
          <w:noProof/>
        </w:rPr>
        <mc:AlternateContent>
          <mc:Choice Requires="wpg">
            <w:drawing>
              <wp:inline distT="0" distB="0" distL="0" distR="0">
                <wp:extent cx="5761483" cy="21336"/>
                <wp:effectExtent l="0" t="0" r="0" b="0"/>
                <wp:docPr id="40552" name="Group 40552"/>
                <wp:cNvGraphicFramePr/>
                <a:graphic xmlns:a="http://schemas.openxmlformats.org/drawingml/2006/main">
                  <a:graphicData uri="http://schemas.microsoft.com/office/word/2010/wordprocessingGroup">
                    <wpg:wgp>
                      <wpg:cNvGrpSpPr/>
                      <wpg:grpSpPr>
                        <a:xfrm>
                          <a:off x="0" y="0"/>
                          <a:ext cx="5761483" cy="21336"/>
                          <a:chOff x="0" y="0"/>
                          <a:chExt cx="5761483" cy="21336"/>
                        </a:xfrm>
                      </wpg:grpSpPr>
                      <wps:wsp>
                        <wps:cNvPr id="1728" name="Shape 1728"/>
                        <wps:cNvSpPr/>
                        <wps:spPr>
                          <a:xfrm>
                            <a:off x="0" y="0"/>
                            <a:ext cx="5761483" cy="21336"/>
                          </a:xfrm>
                          <a:custGeom>
                            <a:avLst/>
                            <a:gdLst/>
                            <a:ahLst/>
                            <a:cxnLst/>
                            <a:rect l="0" t="0" r="0" b="0"/>
                            <a:pathLst>
                              <a:path w="5761483" h="21336">
                                <a:moveTo>
                                  <a:pt x="0" y="21336"/>
                                </a:moveTo>
                                <a:lnTo>
                                  <a:pt x="5761483" y="0"/>
                                </a:lnTo>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0552" style="width:453.66pt;height:1.67999pt;mso-position-horizontal-relative:char;mso-position-vertical-relative:line" coordsize="57614,213">
                <v:shape id="Shape 1728" style="position:absolute;width:57614;height:213;left:0;top:0;" coordsize="5761483,21336" path="m0,21336l5761483,0">
                  <v:stroke weight="0.75pt" endcap="round" joinstyle="round" on="true" color="#000000"/>
                  <v:fill on="false" color="#000000" opacity="0"/>
                </v:shape>
              </v:group>
            </w:pict>
          </mc:Fallback>
        </mc:AlternateContent>
      </w:r>
    </w:p>
    <w:p w:rsidR="00D0456E" w:rsidRDefault="00927C2A">
      <w:pPr>
        <w:spacing w:after="462"/>
        <w:ind w:left="795" w:right="43" w:hanging="90"/>
      </w:pPr>
      <w:r>
        <w:t xml:space="preserve">*The consolidated group can use the $2,000 capital loss to offset part of the $10,000 capital gain. Therefore, the net effect is $8,000. </w:t>
      </w:r>
    </w:p>
    <w:p w:rsidR="00D0456E" w:rsidRDefault="00927C2A">
      <w:pPr>
        <w:pStyle w:val="Heading1"/>
        <w:spacing w:after="232"/>
        <w:ind w:left="-5"/>
      </w:pPr>
      <w:r>
        <w:t xml:space="preserve">PROBLEMS </w:t>
      </w:r>
    </w:p>
    <w:p w:rsidR="00D0456E" w:rsidRDefault="00927C2A">
      <w:pPr>
        <w:numPr>
          <w:ilvl w:val="0"/>
          <w:numId w:val="14"/>
        </w:numPr>
        <w:ind w:right="43" w:hanging="720"/>
      </w:pPr>
      <w:r>
        <w:t xml:space="preserve">(LO 3, 7) Tax and book treatment of intercompany transactions are similar but not identical.  </w:t>
      </w:r>
    </w:p>
    <w:p w:rsidR="00D0456E" w:rsidRDefault="00927C2A">
      <w:pPr>
        <w:spacing w:after="0" w:line="259" w:lineRule="auto"/>
        <w:ind w:left="0" w:firstLine="0"/>
        <w:jc w:val="left"/>
      </w:pPr>
      <w:r>
        <w:rPr>
          <w:sz w:val="4"/>
        </w:rPr>
        <w:t xml:space="preserve"> </w:t>
      </w:r>
    </w:p>
    <w:tbl>
      <w:tblPr>
        <w:tblStyle w:val="TableGrid"/>
        <w:tblW w:w="8762" w:type="dxa"/>
        <w:tblInd w:w="796" w:type="dxa"/>
        <w:tblCellMar>
          <w:top w:w="80" w:type="dxa"/>
          <w:left w:w="0" w:type="dxa"/>
          <w:bottom w:w="65" w:type="dxa"/>
          <w:right w:w="115" w:type="dxa"/>
        </w:tblCellMar>
        <w:tblLook w:val="04A0" w:firstRow="1" w:lastRow="0" w:firstColumn="1" w:lastColumn="0" w:noHBand="0" w:noVBand="1"/>
      </w:tblPr>
      <w:tblGrid>
        <w:gridCol w:w="3086"/>
        <w:gridCol w:w="2724"/>
        <w:gridCol w:w="2952"/>
      </w:tblGrid>
      <w:tr w:rsidR="00D0456E">
        <w:trPr>
          <w:trHeight w:val="670"/>
        </w:trPr>
        <w:tc>
          <w:tcPr>
            <w:tcW w:w="3086" w:type="dxa"/>
            <w:tcBorders>
              <w:top w:val="single" w:sz="4" w:space="0" w:color="000000"/>
              <w:left w:val="nil"/>
              <w:bottom w:val="single" w:sz="4" w:space="0" w:color="000000"/>
              <w:right w:val="nil"/>
            </w:tcBorders>
            <w:vAlign w:val="bottom"/>
          </w:tcPr>
          <w:p w:rsidR="00D0456E" w:rsidRDefault="00927C2A">
            <w:pPr>
              <w:spacing w:after="0" w:line="259" w:lineRule="auto"/>
              <w:ind w:left="122" w:firstLine="0"/>
              <w:jc w:val="left"/>
            </w:pPr>
            <w:r>
              <w:rPr>
                <w:b/>
              </w:rPr>
              <w:t xml:space="preserve">     Transaction </w:t>
            </w:r>
          </w:p>
        </w:tc>
        <w:tc>
          <w:tcPr>
            <w:tcW w:w="2724" w:type="dxa"/>
            <w:tcBorders>
              <w:top w:val="single" w:sz="4" w:space="0" w:color="000000"/>
              <w:left w:val="nil"/>
              <w:bottom w:val="single" w:sz="4" w:space="0" w:color="000000"/>
              <w:right w:val="nil"/>
            </w:tcBorders>
          </w:tcPr>
          <w:p w:rsidR="00D0456E" w:rsidRDefault="00927C2A">
            <w:pPr>
              <w:spacing w:after="0" w:line="259" w:lineRule="auto"/>
              <w:ind w:left="0" w:firstLine="0"/>
              <w:jc w:val="left"/>
            </w:pPr>
            <w:r>
              <w:rPr>
                <w:b/>
              </w:rPr>
              <w:t xml:space="preserve">Financial Accounting Treatment </w:t>
            </w:r>
          </w:p>
        </w:tc>
        <w:tc>
          <w:tcPr>
            <w:tcW w:w="2952" w:type="dxa"/>
            <w:tcBorders>
              <w:top w:val="single" w:sz="4" w:space="0" w:color="000000"/>
              <w:left w:val="nil"/>
              <w:bottom w:val="single" w:sz="4" w:space="0" w:color="000000"/>
              <w:right w:val="nil"/>
            </w:tcBorders>
          </w:tcPr>
          <w:p w:rsidR="00D0456E" w:rsidRDefault="00927C2A">
            <w:pPr>
              <w:spacing w:after="0" w:line="259" w:lineRule="auto"/>
              <w:ind w:left="0" w:firstLine="0"/>
              <w:jc w:val="left"/>
            </w:pPr>
            <w:r>
              <w:rPr>
                <w:b/>
              </w:rPr>
              <w:t xml:space="preserve">Consolidated Tax Return Treatment </w:t>
            </w:r>
          </w:p>
        </w:tc>
      </w:tr>
      <w:tr w:rsidR="00D0456E">
        <w:trPr>
          <w:trHeight w:val="924"/>
        </w:trPr>
        <w:tc>
          <w:tcPr>
            <w:tcW w:w="3086" w:type="dxa"/>
            <w:tcBorders>
              <w:top w:val="single" w:sz="4" w:space="0" w:color="000000"/>
              <w:left w:val="nil"/>
              <w:bottom w:val="nil"/>
              <w:right w:val="nil"/>
            </w:tcBorders>
          </w:tcPr>
          <w:p w:rsidR="00D0456E" w:rsidRDefault="00927C2A">
            <w:pPr>
              <w:spacing w:after="0" w:line="259" w:lineRule="auto"/>
              <w:ind w:left="392" w:hanging="270"/>
              <w:jc w:val="left"/>
            </w:pPr>
            <w:r>
              <w:t xml:space="preserve">a. LittleCo pays a $1 million dividend to Big </w:t>
            </w:r>
          </w:p>
        </w:tc>
        <w:tc>
          <w:tcPr>
            <w:tcW w:w="2724" w:type="dxa"/>
            <w:tcBorders>
              <w:top w:val="single" w:sz="4" w:space="0" w:color="000000"/>
              <w:left w:val="nil"/>
              <w:bottom w:val="nil"/>
              <w:right w:val="nil"/>
            </w:tcBorders>
          </w:tcPr>
          <w:p w:rsidR="00D0456E" w:rsidRDefault="00927C2A">
            <w:pPr>
              <w:spacing w:after="0" w:line="259" w:lineRule="auto"/>
              <w:ind w:left="0" w:firstLine="0"/>
              <w:jc w:val="left"/>
            </w:pPr>
            <w:r>
              <w:t xml:space="preserve">Consolidated eliminating entry—No effect on book income </w:t>
            </w:r>
          </w:p>
        </w:tc>
        <w:tc>
          <w:tcPr>
            <w:tcW w:w="2952" w:type="dxa"/>
            <w:tcBorders>
              <w:top w:val="single" w:sz="4" w:space="0" w:color="000000"/>
              <w:left w:val="nil"/>
              <w:bottom w:val="nil"/>
              <w:right w:val="nil"/>
            </w:tcBorders>
          </w:tcPr>
          <w:p w:rsidR="00D0456E" w:rsidRDefault="00927C2A">
            <w:pPr>
              <w:spacing w:after="0" w:line="259" w:lineRule="auto"/>
              <w:ind w:left="0" w:firstLine="0"/>
              <w:jc w:val="left"/>
            </w:pPr>
            <w:r>
              <w:t xml:space="preserve">Consolidated eliminating entry—No effect on taxable income </w:t>
            </w:r>
          </w:p>
        </w:tc>
      </w:tr>
      <w:tr w:rsidR="00D0456E">
        <w:trPr>
          <w:trHeight w:val="600"/>
        </w:trPr>
        <w:tc>
          <w:tcPr>
            <w:tcW w:w="3086" w:type="dxa"/>
            <w:tcBorders>
              <w:top w:val="nil"/>
              <w:left w:val="nil"/>
              <w:bottom w:val="nil"/>
              <w:right w:val="nil"/>
            </w:tcBorders>
          </w:tcPr>
          <w:p w:rsidR="00D0456E" w:rsidRDefault="00927C2A">
            <w:pPr>
              <w:spacing w:after="0" w:line="259" w:lineRule="auto"/>
              <w:ind w:left="392" w:hanging="270"/>
              <w:jc w:val="left"/>
            </w:pPr>
            <w:r>
              <w:t xml:space="preserve">b. LittleCo sells an asset at a gain to Big </w:t>
            </w:r>
          </w:p>
        </w:tc>
        <w:tc>
          <w:tcPr>
            <w:tcW w:w="2724" w:type="dxa"/>
            <w:tcBorders>
              <w:top w:val="nil"/>
              <w:left w:val="nil"/>
              <w:bottom w:val="nil"/>
              <w:right w:val="nil"/>
            </w:tcBorders>
          </w:tcPr>
          <w:p w:rsidR="00D0456E" w:rsidRDefault="00927C2A">
            <w:pPr>
              <w:spacing w:after="0" w:line="259" w:lineRule="auto"/>
              <w:ind w:left="0" w:firstLine="0"/>
              <w:jc w:val="left"/>
            </w:pPr>
            <w:r>
              <w:t>No effect</w:t>
            </w:r>
          </w:p>
        </w:tc>
        <w:tc>
          <w:tcPr>
            <w:tcW w:w="2952" w:type="dxa"/>
            <w:tcBorders>
              <w:top w:val="nil"/>
              <w:left w:val="nil"/>
              <w:bottom w:val="nil"/>
              <w:right w:val="nil"/>
            </w:tcBorders>
          </w:tcPr>
          <w:p w:rsidR="00D0456E" w:rsidRDefault="00927C2A">
            <w:pPr>
              <w:spacing w:after="0" w:line="259" w:lineRule="auto"/>
              <w:ind w:left="0" w:firstLine="0"/>
              <w:jc w:val="left"/>
            </w:pPr>
            <w:r>
              <w:t>No effect</w:t>
            </w:r>
          </w:p>
        </w:tc>
      </w:tr>
      <w:tr w:rsidR="00D0456E">
        <w:trPr>
          <w:trHeight w:val="886"/>
        </w:trPr>
        <w:tc>
          <w:tcPr>
            <w:tcW w:w="3086" w:type="dxa"/>
            <w:tcBorders>
              <w:top w:val="nil"/>
              <w:left w:val="nil"/>
              <w:bottom w:val="single" w:sz="4" w:space="0" w:color="000000"/>
              <w:right w:val="nil"/>
            </w:tcBorders>
          </w:tcPr>
          <w:p w:rsidR="00D0456E" w:rsidRDefault="00927C2A">
            <w:pPr>
              <w:spacing w:after="0" w:line="259" w:lineRule="auto"/>
              <w:ind w:left="392" w:hanging="270"/>
              <w:jc w:val="left"/>
            </w:pPr>
            <w:r>
              <w:t xml:space="preserve">c. Big sells the intercompanysale asset to an outsider </w:t>
            </w:r>
          </w:p>
        </w:tc>
        <w:tc>
          <w:tcPr>
            <w:tcW w:w="2724" w:type="dxa"/>
            <w:tcBorders>
              <w:top w:val="nil"/>
              <w:left w:val="nil"/>
              <w:bottom w:val="single" w:sz="4" w:space="0" w:color="000000"/>
              <w:right w:val="nil"/>
            </w:tcBorders>
          </w:tcPr>
          <w:p w:rsidR="00D0456E" w:rsidRDefault="00927C2A">
            <w:pPr>
              <w:spacing w:after="0" w:line="259" w:lineRule="auto"/>
              <w:ind w:left="0" w:firstLine="0"/>
              <w:jc w:val="left"/>
            </w:pPr>
            <w:r>
              <w:t>Big reports $550,000 gain</w:t>
            </w:r>
          </w:p>
        </w:tc>
        <w:tc>
          <w:tcPr>
            <w:tcW w:w="2952" w:type="dxa"/>
            <w:tcBorders>
              <w:top w:val="nil"/>
              <w:left w:val="nil"/>
              <w:bottom w:val="single" w:sz="4" w:space="0" w:color="000000"/>
              <w:right w:val="nil"/>
            </w:tcBorders>
          </w:tcPr>
          <w:p w:rsidR="00D0456E" w:rsidRDefault="00927C2A">
            <w:pPr>
              <w:spacing w:after="0" w:line="259" w:lineRule="auto"/>
              <w:ind w:left="0" w:firstLine="0"/>
              <w:jc w:val="left"/>
            </w:pPr>
            <w:r>
              <w:t xml:space="preserve">LittleCo recognizes $400,000 gain. Big recognizes $150,000 gain </w:t>
            </w:r>
          </w:p>
        </w:tc>
      </w:tr>
    </w:tbl>
    <w:p w:rsidR="00D0456E" w:rsidRDefault="00927C2A">
      <w:pPr>
        <w:spacing w:after="0" w:line="264" w:lineRule="auto"/>
        <w:ind w:left="0" w:right="6842" w:firstLine="0"/>
        <w:jc w:val="left"/>
      </w:pPr>
      <w:r>
        <w:t xml:space="preserve">  </w:t>
      </w:r>
      <w:r>
        <w:tab/>
        <w:t xml:space="preserve"> </w:t>
      </w:r>
    </w:p>
    <w:p w:rsidR="00D0456E" w:rsidRDefault="00927C2A">
      <w:pPr>
        <w:numPr>
          <w:ilvl w:val="0"/>
          <w:numId w:val="14"/>
        </w:numPr>
        <w:ind w:right="43" w:hanging="720"/>
      </w:pPr>
      <w:r>
        <w:t xml:space="preserve">(LO 3) When an affiliated group exists, Federal income tax treatment often changes for the group members.   </w:t>
      </w:r>
    </w:p>
    <w:tbl>
      <w:tblPr>
        <w:tblStyle w:val="TableGrid"/>
        <w:tblW w:w="8986" w:type="dxa"/>
        <w:tblInd w:w="796" w:type="dxa"/>
        <w:tblCellMar>
          <w:top w:w="0" w:type="dxa"/>
          <w:left w:w="0" w:type="dxa"/>
          <w:bottom w:w="7" w:type="dxa"/>
          <w:right w:w="115" w:type="dxa"/>
        </w:tblCellMar>
        <w:tblLook w:val="04A0" w:firstRow="1" w:lastRow="0" w:firstColumn="1" w:lastColumn="0" w:noHBand="0" w:noVBand="1"/>
      </w:tblPr>
      <w:tblGrid>
        <w:gridCol w:w="877"/>
        <w:gridCol w:w="3969"/>
        <w:gridCol w:w="4140"/>
      </w:tblGrid>
      <w:tr w:rsidR="00D0456E">
        <w:trPr>
          <w:trHeight w:val="490"/>
        </w:trPr>
        <w:tc>
          <w:tcPr>
            <w:tcW w:w="876" w:type="dxa"/>
            <w:tcBorders>
              <w:top w:val="single" w:sz="4" w:space="0" w:color="000000"/>
              <w:left w:val="nil"/>
              <w:bottom w:val="single" w:sz="4" w:space="0" w:color="000000"/>
              <w:right w:val="nil"/>
            </w:tcBorders>
            <w:vAlign w:val="center"/>
          </w:tcPr>
          <w:p w:rsidR="00D0456E" w:rsidRDefault="00927C2A">
            <w:pPr>
              <w:spacing w:after="0" w:line="259" w:lineRule="auto"/>
              <w:ind w:left="122" w:firstLine="0"/>
              <w:jc w:val="left"/>
            </w:pPr>
            <w:r>
              <w:rPr>
                <w:b/>
              </w:rPr>
              <w:t xml:space="preserve">Item </w:t>
            </w:r>
          </w:p>
        </w:tc>
        <w:tc>
          <w:tcPr>
            <w:tcW w:w="3969" w:type="dxa"/>
            <w:tcBorders>
              <w:top w:val="single" w:sz="4" w:space="0" w:color="000000"/>
              <w:left w:val="nil"/>
              <w:bottom w:val="single" w:sz="4" w:space="0" w:color="000000"/>
              <w:right w:val="nil"/>
            </w:tcBorders>
            <w:vAlign w:val="center"/>
          </w:tcPr>
          <w:p w:rsidR="00D0456E" w:rsidRDefault="00927C2A">
            <w:pPr>
              <w:spacing w:after="0" w:line="259" w:lineRule="auto"/>
              <w:ind w:left="6" w:firstLine="0"/>
              <w:jc w:val="left"/>
            </w:pPr>
            <w:r>
              <w:rPr>
                <w:b/>
              </w:rPr>
              <w:t xml:space="preserve">If Consolidated Return Is Filed </w:t>
            </w:r>
          </w:p>
        </w:tc>
        <w:tc>
          <w:tcPr>
            <w:tcW w:w="4140" w:type="dxa"/>
            <w:tcBorders>
              <w:top w:val="single" w:sz="4" w:space="0" w:color="000000"/>
              <w:left w:val="nil"/>
              <w:bottom w:val="single" w:sz="4" w:space="0" w:color="000000"/>
              <w:right w:val="nil"/>
            </w:tcBorders>
            <w:vAlign w:val="center"/>
          </w:tcPr>
          <w:p w:rsidR="00D0456E" w:rsidRDefault="00927C2A">
            <w:pPr>
              <w:spacing w:after="0" w:line="259" w:lineRule="auto"/>
              <w:ind w:left="0" w:firstLine="0"/>
              <w:jc w:val="left"/>
            </w:pPr>
            <w:r>
              <w:rPr>
                <w:b/>
              </w:rPr>
              <w:t xml:space="preserve">If Separate Returns Are Filed </w:t>
            </w:r>
          </w:p>
        </w:tc>
      </w:tr>
      <w:tr w:rsidR="00D0456E">
        <w:trPr>
          <w:trHeight w:val="4331"/>
        </w:trPr>
        <w:tc>
          <w:tcPr>
            <w:tcW w:w="876" w:type="dxa"/>
            <w:tcBorders>
              <w:top w:val="single" w:sz="4" w:space="0" w:color="000000"/>
              <w:left w:val="nil"/>
              <w:bottom w:val="single" w:sz="4" w:space="0" w:color="000000"/>
              <w:right w:val="nil"/>
            </w:tcBorders>
            <w:vAlign w:val="bottom"/>
          </w:tcPr>
          <w:p w:rsidR="00D0456E" w:rsidRDefault="00927C2A">
            <w:pPr>
              <w:spacing w:after="0" w:line="259" w:lineRule="auto"/>
              <w:ind w:left="122" w:firstLine="0"/>
              <w:jc w:val="left"/>
            </w:pPr>
            <w:r>
              <w:t xml:space="preserve">a. </w:t>
            </w:r>
          </w:p>
          <w:p w:rsidR="00D0456E" w:rsidRDefault="00927C2A">
            <w:pPr>
              <w:spacing w:after="0" w:line="259" w:lineRule="auto"/>
              <w:ind w:left="122" w:firstLine="0"/>
              <w:jc w:val="left"/>
            </w:pPr>
            <w:r>
              <w:t xml:space="preserve"> </w:t>
            </w:r>
          </w:p>
          <w:p w:rsidR="00D0456E" w:rsidRDefault="00927C2A">
            <w:pPr>
              <w:spacing w:after="85" w:line="259" w:lineRule="auto"/>
              <w:ind w:left="122" w:firstLine="0"/>
              <w:jc w:val="left"/>
            </w:pPr>
            <w:r>
              <w:t xml:space="preserve"> </w:t>
            </w:r>
          </w:p>
          <w:p w:rsidR="00D0456E" w:rsidRDefault="00927C2A">
            <w:pPr>
              <w:spacing w:after="0" w:line="259" w:lineRule="auto"/>
              <w:ind w:left="122" w:firstLine="0"/>
              <w:jc w:val="left"/>
            </w:pPr>
            <w:r>
              <w:t xml:space="preserve">b. </w:t>
            </w:r>
          </w:p>
          <w:p w:rsidR="00D0456E" w:rsidRDefault="00927C2A">
            <w:pPr>
              <w:spacing w:after="0" w:line="259" w:lineRule="auto"/>
              <w:ind w:left="122" w:firstLine="0"/>
              <w:jc w:val="left"/>
            </w:pPr>
            <w:r>
              <w:t xml:space="preserve"> </w:t>
            </w:r>
          </w:p>
          <w:p w:rsidR="00D0456E" w:rsidRDefault="00927C2A">
            <w:pPr>
              <w:spacing w:after="0" w:line="259" w:lineRule="auto"/>
              <w:ind w:left="122" w:firstLine="0"/>
              <w:jc w:val="left"/>
            </w:pPr>
            <w:r>
              <w:t xml:space="preserve"> </w:t>
            </w:r>
          </w:p>
          <w:p w:rsidR="00D0456E" w:rsidRDefault="00927C2A">
            <w:pPr>
              <w:spacing w:after="0" w:line="259" w:lineRule="auto"/>
              <w:ind w:left="122" w:firstLine="0"/>
              <w:jc w:val="left"/>
            </w:pPr>
            <w:r>
              <w:t xml:space="preserve"> </w:t>
            </w:r>
          </w:p>
          <w:p w:rsidR="00D0456E" w:rsidRDefault="00927C2A">
            <w:pPr>
              <w:spacing w:after="85" w:line="259" w:lineRule="auto"/>
              <w:ind w:left="122" w:firstLine="0"/>
              <w:jc w:val="left"/>
            </w:pPr>
            <w:r>
              <w:t xml:space="preserve"> </w:t>
            </w:r>
          </w:p>
          <w:p w:rsidR="00D0456E" w:rsidRDefault="00927C2A">
            <w:pPr>
              <w:spacing w:after="0" w:line="259" w:lineRule="auto"/>
              <w:ind w:left="122" w:firstLine="0"/>
              <w:jc w:val="left"/>
            </w:pPr>
            <w:r>
              <w:t xml:space="preserve">c. </w:t>
            </w:r>
          </w:p>
          <w:p w:rsidR="00D0456E" w:rsidRDefault="00927C2A">
            <w:pPr>
              <w:spacing w:after="0" w:line="259" w:lineRule="auto"/>
              <w:ind w:left="122" w:firstLine="0"/>
              <w:jc w:val="left"/>
            </w:pPr>
            <w:r>
              <w:t xml:space="preserve"> </w:t>
            </w:r>
          </w:p>
          <w:p w:rsidR="00D0456E" w:rsidRDefault="00927C2A">
            <w:pPr>
              <w:spacing w:after="0" w:line="259" w:lineRule="auto"/>
              <w:ind w:left="122" w:firstLine="0"/>
              <w:jc w:val="left"/>
            </w:pPr>
            <w:r>
              <w:t xml:space="preserve"> </w:t>
            </w:r>
          </w:p>
          <w:p w:rsidR="00D0456E" w:rsidRDefault="00927C2A">
            <w:pPr>
              <w:spacing w:after="85" w:line="259" w:lineRule="auto"/>
              <w:ind w:left="122" w:firstLine="0"/>
              <w:jc w:val="left"/>
            </w:pPr>
            <w:r>
              <w:t xml:space="preserve"> </w:t>
            </w:r>
          </w:p>
          <w:p w:rsidR="00D0456E" w:rsidRDefault="00927C2A">
            <w:pPr>
              <w:spacing w:after="0" w:line="259" w:lineRule="auto"/>
              <w:ind w:left="122" w:firstLine="0"/>
              <w:jc w:val="left"/>
            </w:pPr>
            <w:r>
              <w:t xml:space="preserve">d. </w:t>
            </w:r>
          </w:p>
          <w:p w:rsidR="00D0456E" w:rsidRDefault="00927C2A">
            <w:pPr>
              <w:spacing w:after="0" w:line="259" w:lineRule="auto"/>
              <w:ind w:left="122" w:firstLine="0"/>
              <w:jc w:val="left"/>
            </w:pPr>
            <w:r>
              <w:t xml:space="preserve"> </w:t>
            </w:r>
          </w:p>
          <w:p w:rsidR="00D0456E" w:rsidRDefault="00927C2A">
            <w:pPr>
              <w:spacing w:after="0" w:line="259" w:lineRule="auto"/>
              <w:ind w:left="122" w:firstLine="0"/>
              <w:jc w:val="left"/>
            </w:pPr>
            <w:r>
              <w:t xml:space="preserve"> </w:t>
            </w:r>
          </w:p>
          <w:p w:rsidR="00D0456E" w:rsidRDefault="00927C2A">
            <w:pPr>
              <w:spacing w:after="0" w:line="259" w:lineRule="auto"/>
              <w:ind w:left="122" w:firstLine="0"/>
              <w:jc w:val="left"/>
            </w:pPr>
            <w:r>
              <w:t xml:space="preserve"> </w:t>
            </w:r>
          </w:p>
        </w:tc>
        <w:tc>
          <w:tcPr>
            <w:tcW w:w="3969" w:type="dxa"/>
            <w:tcBorders>
              <w:top w:val="single" w:sz="4" w:space="0" w:color="000000"/>
              <w:left w:val="nil"/>
              <w:bottom w:val="single" w:sz="4" w:space="0" w:color="000000"/>
              <w:right w:val="nil"/>
            </w:tcBorders>
            <w:vAlign w:val="bottom"/>
          </w:tcPr>
          <w:p w:rsidR="00D0456E" w:rsidRDefault="00927C2A">
            <w:pPr>
              <w:spacing w:after="120" w:line="226" w:lineRule="auto"/>
              <w:ind w:left="0" w:right="48" w:firstLine="0"/>
              <w:jc w:val="left"/>
            </w:pPr>
            <w:r>
              <w:t xml:space="preserve">The payment is eliminated in dividend computing consolidated taxable income, so no tax liability results. </w:t>
            </w:r>
          </w:p>
          <w:p w:rsidR="00D0456E" w:rsidRDefault="00927C2A">
            <w:pPr>
              <w:spacing w:after="112" w:line="234" w:lineRule="auto"/>
              <w:ind w:left="0" w:right="52" w:firstLine="0"/>
              <w:jc w:val="left"/>
            </w:pPr>
            <w:r>
              <w:t xml:space="preserve">Only one 15% tax bracket is allowed to the </w:t>
            </w:r>
            <w:r>
              <w:rPr>
                <w:i/>
              </w:rPr>
              <w:t>affiliated</w:t>
            </w:r>
            <w:r>
              <w:t xml:space="preserve"> group, so total Federal income tax is $22,250. An allocation method is used to determine the payment of each member. </w:t>
            </w:r>
          </w:p>
          <w:p w:rsidR="00D0456E" w:rsidRDefault="00927C2A">
            <w:pPr>
              <w:spacing w:after="120" w:line="226" w:lineRule="auto"/>
              <w:ind w:left="0" w:firstLine="0"/>
              <w:jc w:val="left"/>
            </w:pPr>
            <w:r>
              <w:t xml:space="preserve">Both corporations are fully liable for the $170,000 income tax liability. An allocation method is used to determine the payment of each member. </w:t>
            </w:r>
          </w:p>
          <w:p w:rsidR="00D0456E" w:rsidRDefault="00927C2A">
            <w:pPr>
              <w:spacing w:after="0" w:line="226" w:lineRule="auto"/>
              <w:ind w:left="0" w:firstLine="0"/>
              <w:jc w:val="left"/>
            </w:pPr>
            <w:r>
              <w:t xml:space="preserve">No restriction. A parent and subsidiary are allowed to use different tax accounting methods. </w:t>
            </w:r>
          </w:p>
          <w:p w:rsidR="00D0456E" w:rsidRDefault="00927C2A">
            <w:pPr>
              <w:spacing w:after="0" w:line="259" w:lineRule="auto"/>
              <w:ind w:left="0" w:firstLine="0"/>
              <w:jc w:val="left"/>
            </w:pPr>
            <w:r>
              <w:t xml:space="preserve"> </w:t>
            </w:r>
          </w:p>
        </w:tc>
        <w:tc>
          <w:tcPr>
            <w:tcW w:w="4140" w:type="dxa"/>
            <w:tcBorders>
              <w:top w:val="single" w:sz="4" w:space="0" w:color="000000"/>
              <w:left w:val="nil"/>
              <w:bottom w:val="single" w:sz="4" w:space="0" w:color="000000"/>
              <w:right w:val="nil"/>
            </w:tcBorders>
            <w:vAlign w:val="center"/>
          </w:tcPr>
          <w:p w:rsidR="00D0456E" w:rsidRDefault="00927C2A">
            <w:pPr>
              <w:spacing w:after="120" w:line="226" w:lineRule="auto"/>
              <w:ind w:left="0" w:firstLine="0"/>
              <w:jc w:val="left"/>
            </w:pPr>
            <w:r>
              <w:t>Boulder reports</w:t>
            </w:r>
            <w:r>
              <w:t xml:space="preserve"> $1 million in income, then claims a $1 million (100%) dividends received deduction.  </w:t>
            </w:r>
          </w:p>
          <w:p w:rsidR="00D0456E" w:rsidRDefault="00927C2A">
            <w:pPr>
              <w:spacing w:after="0" w:line="242" w:lineRule="auto"/>
              <w:ind w:left="0" w:firstLine="0"/>
              <w:jc w:val="left"/>
            </w:pPr>
            <w:r>
              <w:t xml:space="preserve">Only one 15% tax bracket is allowed to the </w:t>
            </w:r>
            <w:r>
              <w:rPr>
                <w:i/>
              </w:rPr>
              <w:t>controlled</w:t>
            </w:r>
            <w:r>
              <w:t xml:space="preserve"> group, so total Federal income tax is $22,250. </w:t>
            </w:r>
          </w:p>
          <w:p w:rsidR="00D0456E" w:rsidRDefault="00927C2A">
            <w:pPr>
              <w:spacing w:after="0" w:line="259" w:lineRule="auto"/>
              <w:ind w:left="0" w:firstLine="0"/>
              <w:jc w:val="left"/>
            </w:pPr>
            <w:r>
              <w:t xml:space="preserve"> </w:t>
            </w:r>
          </w:p>
          <w:p w:rsidR="00D0456E" w:rsidRDefault="00927C2A">
            <w:pPr>
              <w:spacing w:after="85" w:line="259" w:lineRule="auto"/>
              <w:ind w:left="0" w:firstLine="0"/>
              <w:jc w:val="left"/>
            </w:pPr>
            <w:r>
              <w:t xml:space="preserve"> </w:t>
            </w:r>
          </w:p>
          <w:p w:rsidR="00D0456E" w:rsidRDefault="00927C2A">
            <w:pPr>
              <w:spacing w:after="0" w:line="226" w:lineRule="auto"/>
              <w:ind w:left="0" w:firstLine="0"/>
              <w:jc w:val="left"/>
            </w:pPr>
            <w:r>
              <w:t xml:space="preserve">Boulder is liable only for its $95,000 liability, and PebbleCo </w:t>
            </w:r>
            <w:r>
              <w:t xml:space="preserve">for its $75,000. </w:t>
            </w:r>
          </w:p>
          <w:p w:rsidR="00D0456E" w:rsidRDefault="00927C2A">
            <w:pPr>
              <w:spacing w:after="0" w:line="259" w:lineRule="auto"/>
              <w:ind w:left="0" w:firstLine="0"/>
              <w:jc w:val="left"/>
            </w:pPr>
            <w:r>
              <w:t xml:space="preserve"> </w:t>
            </w:r>
          </w:p>
          <w:p w:rsidR="00D0456E" w:rsidRDefault="00927C2A">
            <w:pPr>
              <w:spacing w:after="85" w:line="259" w:lineRule="auto"/>
              <w:ind w:left="0" w:firstLine="0"/>
              <w:jc w:val="left"/>
            </w:pPr>
            <w:r>
              <w:t xml:space="preserve"> </w:t>
            </w:r>
          </w:p>
          <w:p w:rsidR="00D0456E" w:rsidRDefault="00927C2A">
            <w:pPr>
              <w:spacing w:after="0" w:line="259" w:lineRule="auto"/>
              <w:ind w:left="58" w:firstLine="0"/>
              <w:jc w:val="left"/>
            </w:pPr>
            <w:r>
              <w:t xml:space="preserve">No restriction. A parent and subsidiary are allowed to use different tax accounting methods. </w:t>
            </w:r>
          </w:p>
        </w:tc>
      </w:tr>
    </w:tbl>
    <w:p w:rsidR="00D0456E" w:rsidRDefault="00927C2A">
      <w:pPr>
        <w:spacing w:after="0" w:line="259" w:lineRule="auto"/>
        <w:ind w:left="0" w:firstLine="0"/>
        <w:jc w:val="left"/>
      </w:pPr>
      <w:r>
        <w:t xml:space="preserve"> </w:t>
      </w:r>
    </w:p>
    <w:p w:rsidR="00D0456E" w:rsidRDefault="00927C2A">
      <w:pPr>
        <w:numPr>
          <w:ilvl w:val="0"/>
          <w:numId w:val="14"/>
        </w:numPr>
        <w:spacing w:after="141"/>
        <w:ind w:right="43" w:hanging="720"/>
      </w:pPr>
      <w:r>
        <w:t>(LO 5) Grand must pay the $2.5 million for Junior’s Federal income taxes, as consolidated return partners have joint and several liability as to income taxes due. The bankruptcy receiver will determine the ultimate disposition of the $1 million owed to the</w:t>
      </w:r>
      <w:r>
        <w:t xml:space="preserve"> supplier, but Grand is not likely to have any responsibility for paying that obligation.  </w:t>
      </w:r>
    </w:p>
    <w:p w:rsidR="00D0456E" w:rsidRDefault="00927C2A">
      <w:pPr>
        <w:numPr>
          <w:ilvl w:val="0"/>
          <w:numId w:val="14"/>
        </w:numPr>
        <w:ind w:right="43" w:hanging="720"/>
      </w:pPr>
      <w:r>
        <w:t xml:space="preserve">(LO 5) Consolidated tax liabilities are shared in the following manner. SubThree’s taxable income is negative, so its separate tax liability is zero. </w:t>
      </w:r>
    </w:p>
    <w:tbl>
      <w:tblPr>
        <w:tblStyle w:val="TableGrid"/>
        <w:tblW w:w="7934" w:type="dxa"/>
        <w:tblInd w:w="796" w:type="dxa"/>
        <w:tblCellMar>
          <w:top w:w="20" w:type="dxa"/>
          <w:left w:w="0" w:type="dxa"/>
          <w:bottom w:w="20" w:type="dxa"/>
          <w:right w:w="97" w:type="dxa"/>
        </w:tblCellMar>
        <w:tblLook w:val="04A0" w:firstRow="1" w:lastRow="0" w:firstColumn="1" w:lastColumn="0" w:noHBand="0" w:noVBand="1"/>
      </w:tblPr>
      <w:tblGrid>
        <w:gridCol w:w="4180"/>
        <w:gridCol w:w="324"/>
        <w:gridCol w:w="2183"/>
        <w:gridCol w:w="1247"/>
      </w:tblGrid>
      <w:tr w:rsidR="00D0456E">
        <w:trPr>
          <w:trHeight w:val="630"/>
        </w:trPr>
        <w:tc>
          <w:tcPr>
            <w:tcW w:w="4181" w:type="dxa"/>
            <w:tcBorders>
              <w:top w:val="single" w:sz="4" w:space="0" w:color="000000"/>
              <w:left w:val="nil"/>
              <w:bottom w:val="single" w:sz="4" w:space="0" w:color="000000"/>
              <w:right w:val="nil"/>
            </w:tcBorders>
          </w:tcPr>
          <w:p w:rsidR="00D0456E" w:rsidRDefault="00927C2A">
            <w:pPr>
              <w:tabs>
                <w:tab w:val="center" w:pos="2989"/>
              </w:tabs>
              <w:spacing w:after="0" w:line="259" w:lineRule="auto"/>
              <w:ind w:left="0" w:firstLine="0"/>
              <w:jc w:val="left"/>
            </w:pPr>
            <w:r>
              <w:rPr>
                <w:b/>
              </w:rPr>
              <w:t xml:space="preserve"> </w:t>
            </w:r>
            <w:r>
              <w:rPr>
                <w:b/>
              </w:rPr>
              <w:tab/>
              <w:t xml:space="preserve">Separate  </w:t>
            </w:r>
          </w:p>
          <w:p w:rsidR="00D0456E" w:rsidRDefault="00927C2A">
            <w:pPr>
              <w:spacing w:after="0" w:line="259" w:lineRule="auto"/>
              <w:ind w:left="0" w:right="341" w:firstLine="0"/>
              <w:jc w:val="right"/>
            </w:pPr>
            <w:r>
              <w:rPr>
                <w:b/>
              </w:rPr>
              <w:t xml:space="preserve">Taxable Income </w:t>
            </w:r>
          </w:p>
        </w:tc>
        <w:tc>
          <w:tcPr>
            <w:tcW w:w="3754" w:type="dxa"/>
            <w:gridSpan w:val="3"/>
            <w:tcBorders>
              <w:top w:val="single" w:sz="4" w:space="0" w:color="000000"/>
              <w:left w:val="nil"/>
              <w:bottom w:val="single" w:sz="4" w:space="0" w:color="000000"/>
              <w:right w:val="nil"/>
            </w:tcBorders>
            <w:vAlign w:val="bottom"/>
          </w:tcPr>
          <w:p w:rsidR="00D0456E" w:rsidRDefault="00927C2A">
            <w:pPr>
              <w:tabs>
                <w:tab w:val="right" w:pos="3657"/>
              </w:tabs>
              <w:spacing w:after="0" w:line="259" w:lineRule="auto"/>
              <w:ind w:left="0" w:firstLine="0"/>
              <w:jc w:val="left"/>
            </w:pPr>
            <w:r>
              <w:rPr>
                <w:b/>
              </w:rPr>
              <w:t xml:space="preserve">Allocation Ratio </w:t>
            </w:r>
            <w:r>
              <w:rPr>
                <w:b/>
              </w:rPr>
              <w:tab/>
              <w:t xml:space="preserve">Allocated Tax Due </w:t>
            </w:r>
          </w:p>
        </w:tc>
      </w:tr>
      <w:tr w:rsidR="00D0456E">
        <w:trPr>
          <w:trHeight w:val="364"/>
        </w:trPr>
        <w:tc>
          <w:tcPr>
            <w:tcW w:w="4505" w:type="dxa"/>
            <w:gridSpan w:val="2"/>
            <w:tcBorders>
              <w:top w:val="single" w:sz="4" w:space="0" w:color="000000"/>
              <w:left w:val="nil"/>
              <w:bottom w:val="nil"/>
              <w:right w:val="nil"/>
            </w:tcBorders>
            <w:vAlign w:val="bottom"/>
          </w:tcPr>
          <w:p w:rsidR="00D0456E" w:rsidRDefault="00927C2A">
            <w:pPr>
              <w:tabs>
                <w:tab w:val="center" w:pos="2989"/>
              </w:tabs>
              <w:spacing w:after="0" w:line="259" w:lineRule="auto"/>
              <w:ind w:left="0" w:firstLine="0"/>
              <w:jc w:val="left"/>
            </w:pPr>
            <w:r>
              <w:t>Parent</w:t>
            </w:r>
            <w:r>
              <w:rPr>
                <w:b/>
              </w:rPr>
              <w:t xml:space="preserve"> </w:t>
            </w:r>
            <w:r>
              <w:rPr>
                <w:b/>
              </w:rPr>
              <w:tab/>
            </w:r>
            <w:r>
              <w:t>$  850</w:t>
            </w:r>
            <w:r>
              <w:rPr>
                <w:b/>
              </w:rPr>
              <w:t xml:space="preserve"> </w:t>
            </w:r>
          </w:p>
        </w:tc>
        <w:tc>
          <w:tcPr>
            <w:tcW w:w="2183" w:type="dxa"/>
            <w:tcBorders>
              <w:top w:val="single" w:sz="4" w:space="0" w:color="000000"/>
              <w:left w:val="nil"/>
              <w:bottom w:val="nil"/>
              <w:right w:val="nil"/>
            </w:tcBorders>
            <w:vAlign w:val="bottom"/>
          </w:tcPr>
          <w:p w:rsidR="00D0456E" w:rsidRDefault="00927C2A">
            <w:pPr>
              <w:spacing w:after="0" w:line="259" w:lineRule="auto"/>
              <w:ind w:left="0" w:firstLine="0"/>
              <w:jc w:val="left"/>
            </w:pPr>
            <w:r>
              <w:t>850/1,200</w:t>
            </w:r>
            <w:r>
              <w:rPr>
                <w:b/>
              </w:rPr>
              <w:t xml:space="preserve"> </w:t>
            </w:r>
          </w:p>
        </w:tc>
        <w:tc>
          <w:tcPr>
            <w:tcW w:w="1247" w:type="dxa"/>
            <w:tcBorders>
              <w:top w:val="single" w:sz="4" w:space="0" w:color="000000"/>
              <w:left w:val="nil"/>
              <w:bottom w:val="nil"/>
              <w:right w:val="nil"/>
            </w:tcBorders>
            <w:vAlign w:val="bottom"/>
          </w:tcPr>
          <w:p w:rsidR="00D0456E" w:rsidRDefault="00927C2A">
            <w:pPr>
              <w:spacing w:after="0" w:line="259" w:lineRule="auto"/>
              <w:ind w:left="0" w:firstLine="0"/>
              <w:jc w:val="left"/>
            </w:pPr>
            <w:r>
              <w:t>$220</w:t>
            </w:r>
            <w:r>
              <w:rPr>
                <w:b/>
              </w:rPr>
              <w:t xml:space="preserve"> </w:t>
            </w:r>
          </w:p>
        </w:tc>
      </w:tr>
      <w:tr w:rsidR="00D0456E">
        <w:trPr>
          <w:trHeight w:val="240"/>
        </w:trPr>
        <w:tc>
          <w:tcPr>
            <w:tcW w:w="4505" w:type="dxa"/>
            <w:gridSpan w:val="2"/>
            <w:tcBorders>
              <w:top w:val="nil"/>
              <w:left w:val="nil"/>
              <w:bottom w:val="nil"/>
              <w:right w:val="nil"/>
            </w:tcBorders>
          </w:tcPr>
          <w:p w:rsidR="00D0456E" w:rsidRDefault="00927C2A">
            <w:pPr>
              <w:tabs>
                <w:tab w:val="center" w:pos="3018"/>
              </w:tabs>
              <w:spacing w:after="0" w:line="259" w:lineRule="auto"/>
              <w:ind w:left="0" w:firstLine="0"/>
              <w:jc w:val="left"/>
            </w:pPr>
            <w:r>
              <w:t xml:space="preserve">SubOne </w:t>
            </w:r>
            <w:r>
              <w:tab/>
              <w:t xml:space="preserve">   200</w:t>
            </w:r>
          </w:p>
        </w:tc>
        <w:tc>
          <w:tcPr>
            <w:tcW w:w="2183" w:type="dxa"/>
            <w:tcBorders>
              <w:top w:val="nil"/>
              <w:left w:val="nil"/>
              <w:bottom w:val="nil"/>
              <w:right w:val="nil"/>
            </w:tcBorders>
          </w:tcPr>
          <w:p w:rsidR="00D0456E" w:rsidRDefault="00927C2A">
            <w:pPr>
              <w:spacing w:after="0" w:line="259" w:lineRule="auto"/>
              <w:ind w:left="1" w:firstLine="0"/>
              <w:jc w:val="left"/>
            </w:pPr>
            <w:r>
              <w:t>200/1,200</w:t>
            </w:r>
          </w:p>
        </w:tc>
        <w:tc>
          <w:tcPr>
            <w:tcW w:w="1247" w:type="dxa"/>
            <w:tcBorders>
              <w:top w:val="nil"/>
              <w:left w:val="nil"/>
              <w:bottom w:val="nil"/>
              <w:right w:val="nil"/>
            </w:tcBorders>
          </w:tcPr>
          <w:p w:rsidR="00D0456E" w:rsidRDefault="00927C2A">
            <w:pPr>
              <w:spacing w:after="0" w:line="259" w:lineRule="auto"/>
              <w:ind w:left="28" w:firstLine="0"/>
              <w:jc w:val="left"/>
            </w:pPr>
            <w:r>
              <w:t xml:space="preserve">   52 </w:t>
            </w:r>
          </w:p>
        </w:tc>
      </w:tr>
      <w:tr w:rsidR="00D0456E">
        <w:trPr>
          <w:trHeight w:val="240"/>
        </w:trPr>
        <w:tc>
          <w:tcPr>
            <w:tcW w:w="4505" w:type="dxa"/>
            <w:gridSpan w:val="2"/>
            <w:tcBorders>
              <w:top w:val="nil"/>
              <w:left w:val="nil"/>
              <w:bottom w:val="nil"/>
              <w:right w:val="nil"/>
            </w:tcBorders>
          </w:tcPr>
          <w:p w:rsidR="00D0456E" w:rsidRDefault="00927C2A">
            <w:pPr>
              <w:tabs>
                <w:tab w:val="center" w:pos="3017"/>
              </w:tabs>
              <w:spacing w:after="0" w:line="259" w:lineRule="auto"/>
              <w:ind w:left="0" w:firstLine="0"/>
              <w:jc w:val="left"/>
            </w:pPr>
            <w:r>
              <w:t xml:space="preserve">SubTwo </w:t>
            </w:r>
            <w:r>
              <w:tab/>
              <w:t xml:space="preserve">   150</w:t>
            </w:r>
          </w:p>
        </w:tc>
        <w:tc>
          <w:tcPr>
            <w:tcW w:w="2183" w:type="dxa"/>
            <w:tcBorders>
              <w:top w:val="nil"/>
              <w:left w:val="nil"/>
              <w:bottom w:val="nil"/>
              <w:right w:val="nil"/>
            </w:tcBorders>
          </w:tcPr>
          <w:p w:rsidR="00D0456E" w:rsidRDefault="00927C2A">
            <w:pPr>
              <w:spacing w:after="0" w:line="259" w:lineRule="auto"/>
              <w:ind w:left="0" w:firstLine="0"/>
              <w:jc w:val="left"/>
            </w:pPr>
            <w:r>
              <w:t>150/1,200</w:t>
            </w:r>
          </w:p>
        </w:tc>
        <w:tc>
          <w:tcPr>
            <w:tcW w:w="1247" w:type="dxa"/>
            <w:tcBorders>
              <w:top w:val="nil"/>
              <w:left w:val="nil"/>
              <w:bottom w:val="nil"/>
              <w:right w:val="nil"/>
            </w:tcBorders>
          </w:tcPr>
          <w:p w:rsidR="00D0456E" w:rsidRDefault="00927C2A">
            <w:pPr>
              <w:spacing w:after="0" w:line="259" w:lineRule="auto"/>
              <w:ind w:left="27" w:firstLine="0"/>
              <w:jc w:val="left"/>
            </w:pPr>
            <w:r>
              <w:t xml:space="preserve">   38 </w:t>
            </w:r>
          </w:p>
        </w:tc>
      </w:tr>
      <w:tr w:rsidR="00D0456E">
        <w:trPr>
          <w:trHeight w:val="240"/>
        </w:trPr>
        <w:tc>
          <w:tcPr>
            <w:tcW w:w="4505" w:type="dxa"/>
            <w:gridSpan w:val="2"/>
            <w:tcBorders>
              <w:top w:val="nil"/>
              <w:left w:val="nil"/>
              <w:bottom w:val="nil"/>
              <w:right w:val="nil"/>
            </w:tcBorders>
          </w:tcPr>
          <w:p w:rsidR="00D0456E" w:rsidRDefault="00927C2A">
            <w:pPr>
              <w:tabs>
                <w:tab w:val="center" w:pos="3017"/>
              </w:tabs>
              <w:spacing w:after="0" w:line="259" w:lineRule="auto"/>
              <w:ind w:left="0" w:firstLine="0"/>
              <w:jc w:val="left"/>
            </w:pPr>
            <w:r>
              <w:t xml:space="preserve">SubThree </w:t>
            </w:r>
            <w:r>
              <w:tab/>
            </w:r>
            <w:r>
              <w:rPr>
                <w:u w:val="single" w:color="000000"/>
              </w:rPr>
              <w:t xml:space="preserve">    –0–</w:t>
            </w:r>
          </w:p>
        </w:tc>
        <w:tc>
          <w:tcPr>
            <w:tcW w:w="2183" w:type="dxa"/>
            <w:tcBorders>
              <w:top w:val="nil"/>
              <w:left w:val="nil"/>
              <w:bottom w:val="nil"/>
              <w:right w:val="nil"/>
            </w:tcBorders>
          </w:tcPr>
          <w:p w:rsidR="00D0456E" w:rsidRDefault="00927C2A">
            <w:pPr>
              <w:spacing w:after="0" w:line="259" w:lineRule="auto"/>
              <w:ind w:left="59" w:firstLine="0"/>
              <w:jc w:val="left"/>
            </w:pPr>
            <w:r>
              <w:t xml:space="preserve">             0</w:t>
            </w:r>
          </w:p>
        </w:tc>
        <w:tc>
          <w:tcPr>
            <w:tcW w:w="1247" w:type="dxa"/>
            <w:tcBorders>
              <w:top w:val="nil"/>
              <w:left w:val="nil"/>
              <w:bottom w:val="nil"/>
              <w:right w:val="nil"/>
            </w:tcBorders>
          </w:tcPr>
          <w:p w:rsidR="00D0456E" w:rsidRDefault="00927C2A">
            <w:pPr>
              <w:spacing w:after="0" w:line="259" w:lineRule="auto"/>
              <w:ind w:left="0" w:firstLine="0"/>
              <w:jc w:val="left"/>
            </w:pPr>
            <w:r>
              <w:rPr>
                <w:u w:val="single" w:color="000000"/>
              </w:rPr>
              <w:t xml:space="preserve">  –0–</w:t>
            </w:r>
            <w:r>
              <w:t xml:space="preserve"> </w:t>
            </w:r>
          </w:p>
        </w:tc>
      </w:tr>
      <w:tr w:rsidR="00D0456E">
        <w:trPr>
          <w:trHeight w:val="346"/>
        </w:trPr>
        <w:tc>
          <w:tcPr>
            <w:tcW w:w="4505" w:type="dxa"/>
            <w:gridSpan w:val="2"/>
            <w:tcBorders>
              <w:top w:val="nil"/>
              <w:left w:val="nil"/>
              <w:bottom w:val="single" w:sz="4" w:space="0" w:color="000000"/>
              <w:right w:val="nil"/>
            </w:tcBorders>
          </w:tcPr>
          <w:p w:rsidR="00D0456E" w:rsidRDefault="00927C2A">
            <w:pPr>
              <w:tabs>
                <w:tab w:val="center" w:pos="2990"/>
              </w:tabs>
              <w:spacing w:after="0" w:line="259" w:lineRule="auto"/>
              <w:ind w:left="0" w:firstLine="0"/>
              <w:jc w:val="left"/>
            </w:pPr>
            <w:r>
              <w:t xml:space="preserve">Totals </w:t>
            </w:r>
            <w:r>
              <w:tab/>
            </w:r>
            <w:r>
              <w:rPr>
                <w:u w:val="double" w:color="000000"/>
              </w:rPr>
              <w:t>$1,200</w:t>
            </w:r>
          </w:p>
        </w:tc>
        <w:tc>
          <w:tcPr>
            <w:tcW w:w="2183" w:type="dxa"/>
            <w:tcBorders>
              <w:top w:val="nil"/>
              <w:left w:val="nil"/>
              <w:bottom w:val="single" w:sz="4" w:space="0" w:color="000000"/>
              <w:right w:val="nil"/>
            </w:tcBorders>
          </w:tcPr>
          <w:p w:rsidR="00D0456E" w:rsidRDefault="00D0456E">
            <w:pPr>
              <w:spacing w:after="160" w:line="259" w:lineRule="auto"/>
              <w:ind w:left="0" w:firstLine="0"/>
              <w:jc w:val="left"/>
            </w:pPr>
          </w:p>
        </w:tc>
        <w:tc>
          <w:tcPr>
            <w:tcW w:w="1247" w:type="dxa"/>
            <w:tcBorders>
              <w:top w:val="nil"/>
              <w:left w:val="nil"/>
              <w:bottom w:val="single" w:sz="4" w:space="0" w:color="000000"/>
              <w:right w:val="nil"/>
            </w:tcBorders>
          </w:tcPr>
          <w:p w:rsidR="00D0456E" w:rsidRDefault="00927C2A">
            <w:pPr>
              <w:spacing w:after="0" w:line="259" w:lineRule="auto"/>
              <w:ind w:left="0" w:firstLine="0"/>
              <w:jc w:val="left"/>
            </w:pPr>
            <w:r>
              <w:rPr>
                <w:u w:val="double" w:color="000000"/>
              </w:rPr>
              <w:t>$310</w:t>
            </w:r>
            <w:r>
              <w:t xml:space="preserve"> </w:t>
            </w:r>
          </w:p>
        </w:tc>
      </w:tr>
    </w:tbl>
    <w:p w:rsidR="00D0456E" w:rsidRDefault="00927C2A">
      <w:pPr>
        <w:spacing w:after="0" w:line="259" w:lineRule="auto"/>
        <w:ind w:left="0" w:firstLine="0"/>
        <w:jc w:val="left"/>
      </w:pPr>
      <w:r>
        <w:t xml:space="preserve"> </w:t>
      </w:r>
    </w:p>
    <w:p w:rsidR="00D0456E" w:rsidRDefault="00927C2A">
      <w:pPr>
        <w:numPr>
          <w:ilvl w:val="0"/>
          <w:numId w:val="14"/>
        </w:numPr>
        <w:ind w:right="43" w:hanging="720"/>
      </w:pPr>
      <w:r>
        <w:t xml:space="preserve">(LO 5) Consolidated tax liabilities are shared in the following manner. </w:t>
      </w:r>
    </w:p>
    <w:tbl>
      <w:tblPr>
        <w:tblStyle w:val="TableGrid"/>
        <w:tblW w:w="7934" w:type="dxa"/>
        <w:tblInd w:w="796" w:type="dxa"/>
        <w:tblCellMar>
          <w:top w:w="20" w:type="dxa"/>
          <w:left w:w="0" w:type="dxa"/>
          <w:bottom w:w="20" w:type="dxa"/>
          <w:right w:w="115" w:type="dxa"/>
        </w:tblCellMar>
        <w:tblLook w:val="04A0" w:firstRow="1" w:lastRow="0" w:firstColumn="1" w:lastColumn="0" w:noHBand="0" w:noVBand="1"/>
      </w:tblPr>
      <w:tblGrid>
        <w:gridCol w:w="1601"/>
        <w:gridCol w:w="1730"/>
        <w:gridCol w:w="1885"/>
        <w:gridCol w:w="1471"/>
        <w:gridCol w:w="1247"/>
      </w:tblGrid>
      <w:tr w:rsidR="00D0456E">
        <w:trPr>
          <w:trHeight w:val="710"/>
        </w:trPr>
        <w:tc>
          <w:tcPr>
            <w:tcW w:w="1601" w:type="dxa"/>
            <w:tcBorders>
              <w:top w:val="single" w:sz="4" w:space="0" w:color="000000"/>
              <w:left w:val="nil"/>
              <w:bottom w:val="single" w:sz="4" w:space="0" w:color="000000"/>
              <w:right w:val="nil"/>
            </w:tcBorders>
          </w:tcPr>
          <w:p w:rsidR="00D0456E" w:rsidRDefault="00927C2A">
            <w:pPr>
              <w:spacing w:after="0" w:line="259" w:lineRule="auto"/>
              <w:ind w:left="122" w:firstLine="0"/>
              <w:jc w:val="left"/>
            </w:pPr>
            <w:r>
              <w:rPr>
                <w:b/>
              </w:rPr>
              <w:t xml:space="preserve"> </w:t>
            </w:r>
          </w:p>
        </w:tc>
        <w:tc>
          <w:tcPr>
            <w:tcW w:w="1730" w:type="dxa"/>
            <w:tcBorders>
              <w:top w:val="single" w:sz="4" w:space="0" w:color="000000"/>
              <w:left w:val="nil"/>
              <w:bottom w:val="single" w:sz="4" w:space="0" w:color="000000"/>
              <w:right w:val="nil"/>
            </w:tcBorders>
            <w:vAlign w:val="center"/>
          </w:tcPr>
          <w:p w:rsidR="00D0456E" w:rsidRDefault="00927C2A">
            <w:pPr>
              <w:spacing w:after="0" w:line="259" w:lineRule="auto"/>
              <w:ind w:left="0" w:firstLine="340"/>
              <w:jc w:val="left"/>
            </w:pPr>
            <w:r>
              <w:rPr>
                <w:b/>
              </w:rPr>
              <w:t xml:space="preserve">Separate Taxable Income </w:t>
            </w:r>
          </w:p>
        </w:tc>
        <w:tc>
          <w:tcPr>
            <w:tcW w:w="1885" w:type="dxa"/>
            <w:tcBorders>
              <w:top w:val="single" w:sz="4" w:space="0" w:color="000000"/>
              <w:left w:val="nil"/>
              <w:bottom w:val="single" w:sz="4" w:space="0" w:color="000000"/>
              <w:right w:val="nil"/>
            </w:tcBorders>
            <w:vAlign w:val="center"/>
          </w:tcPr>
          <w:p w:rsidR="00D0456E" w:rsidRDefault="00927C2A">
            <w:pPr>
              <w:spacing w:after="0" w:line="259" w:lineRule="auto"/>
              <w:ind w:left="402" w:hanging="223"/>
              <w:jc w:val="left"/>
            </w:pPr>
            <w:r>
              <w:rPr>
                <w:b/>
              </w:rPr>
              <w:t xml:space="preserve">Separate Tax Liability </w:t>
            </w:r>
          </w:p>
        </w:tc>
        <w:tc>
          <w:tcPr>
            <w:tcW w:w="1471" w:type="dxa"/>
            <w:tcBorders>
              <w:top w:val="single" w:sz="4" w:space="0" w:color="000000"/>
              <w:left w:val="nil"/>
              <w:bottom w:val="single" w:sz="4" w:space="0" w:color="000000"/>
              <w:right w:val="nil"/>
            </w:tcBorders>
            <w:vAlign w:val="center"/>
          </w:tcPr>
          <w:p w:rsidR="00D0456E" w:rsidRDefault="00927C2A">
            <w:pPr>
              <w:spacing w:after="0" w:line="259" w:lineRule="auto"/>
              <w:ind w:left="226" w:hanging="226"/>
              <w:jc w:val="left"/>
            </w:pPr>
            <w:r>
              <w:rPr>
                <w:b/>
              </w:rPr>
              <w:t xml:space="preserve">    Allocation     Ratio </w:t>
            </w:r>
          </w:p>
        </w:tc>
        <w:tc>
          <w:tcPr>
            <w:tcW w:w="1247" w:type="dxa"/>
            <w:tcBorders>
              <w:top w:val="single" w:sz="4" w:space="0" w:color="000000"/>
              <w:left w:val="nil"/>
              <w:bottom w:val="single" w:sz="4" w:space="0" w:color="000000"/>
              <w:right w:val="nil"/>
            </w:tcBorders>
            <w:vAlign w:val="center"/>
          </w:tcPr>
          <w:p w:rsidR="00D0456E" w:rsidRDefault="00927C2A">
            <w:pPr>
              <w:spacing w:after="0" w:line="259" w:lineRule="auto"/>
              <w:ind w:left="164" w:hanging="46"/>
              <w:jc w:val="left"/>
            </w:pPr>
            <w:r>
              <w:rPr>
                <w:b/>
              </w:rPr>
              <w:t xml:space="preserve">Allocated Tax Due </w:t>
            </w:r>
          </w:p>
        </w:tc>
      </w:tr>
      <w:tr w:rsidR="00D0456E">
        <w:trPr>
          <w:trHeight w:val="365"/>
        </w:trPr>
        <w:tc>
          <w:tcPr>
            <w:tcW w:w="1601" w:type="dxa"/>
            <w:tcBorders>
              <w:top w:val="single" w:sz="4" w:space="0" w:color="000000"/>
              <w:left w:val="nil"/>
              <w:bottom w:val="nil"/>
              <w:right w:val="nil"/>
            </w:tcBorders>
            <w:vAlign w:val="bottom"/>
          </w:tcPr>
          <w:p w:rsidR="00D0456E" w:rsidRDefault="00927C2A">
            <w:pPr>
              <w:spacing w:after="0" w:line="259" w:lineRule="auto"/>
              <w:ind w:left="122" w:firstLine="0"/>
              <w:jc w:val="left"/>
            </w:pPr>
            <w:r>
              <w:t>Parent</w:t>
            </w:r>
            <w:r>
              <w:rPr>
                <w:b/>
              </w:rPr>
              <w:t xml:space="preserve"> </w:t>
            </w:r>
          </w:p>
        </w:tc>
        <w:tc>
          <w:tcPr>
            <w:tcW w:w="1730" w:type="dxa"/>
            <w:tcBorders>
              <w:top w:val="single" w:sz="4" w:space="0" w:color="000000"/>
              <w:left w:val="nil"/>
              <w:bottom w:val="nil"/>
              <w:right w:val="nil"/>
            </w:tcBorders>
            <w:vAlign w:val="bottom"/>
          </w:tcPr>
          <w:p w:rsidR="00D0456E" w:rsidRDefault="00927C2A">
            <w:pPr>
              <w:spacing w:after="0" w:line="259" w:lineRule="auto"/>
              <w:ind w:left="480" w:firstLine="0"/>
              <w:jc w:val="left"/>
            </w:pPr>
            <w:r>
              <w:t>$  850</w:t>
            </w:r>
            <w:r>
              <w:rPr>
                <w:b/>
              </w:rPr>
              <w:t xml:space="preserve"> </w:t>
            </w:r>
          </w:p>
        </w:tc>
        <w:tc>
          <w:tcPr>
            <w:tcW w:w="1885" w:type="dxa"/>
            <w:tcBorders>
              <w:top w:val="single" w:sz="4" w:space="0" w:color="000000"/>
              <w:left w:val="nil"/>
              <w:bottom w:val="nil"/>
              <w:right w:val="nil"/>
            </w:tcBorders>
            <w:vAlign w:val="bottom"/>
          </w:tcPr>
          <w:p w:rsidR="00D0456E" w:rsidRDefault="00927C2A">
            <w:pPr>
              <w:tabs>
                <w:tab w:val="center" w:pos="1210"/>
              </w:tabs>
              <w:spacing w:after="0" w:line="259" w:lineRule="auto"/>
              <w:ind w:left="0" w:firstLine="0"/>
              <w:jc w:val="left"/>
            </w:pPr>
            <w:r>
              <w:t xml:space="preserve"> </w:t>
            </w:r>
            <w:r>
              <w:tab/>
              <w:t xml:space="preserve">$297.5 </w:t>
            </w:r>
          </w:p>
        </w:tc>
        <w:tc>
          <w:tcPr>
            <w:tcW w:w="1471" w:type="dxa"/>
            <w:tcBorders>
              <w:top w:val="single" w:sz="4" w:space="0" w:color="000000"/>
              <w:left w:val="nil"/>
              <w:bottom w:val="nil"/>
              <w:right w:val="nil"/>
            </w:tcBorders>
            <w:vAlign w:val="bottom"/>
          </w:tcPr>
          <w:p w:rsidR="00D0456E" w:rsidRDefault="00927C2A">
            <w:pPr>
              <w:spacing w:after="0" w:line="259" w:lineRule="auto"/>
              <w:ind w:left="137" w:firstLine="0"/>
              <w:jc w:val="center"/>
            </w:pPr>
            <w:r>
              <w:t xml:space="preserve">  297.5/350</w:t>
            </w:r>
            <w:r>
              <w:rPr>
                <w:b/>
              </w:rPr>
              <w:t xml:space="preserve"> </w:t>
            </w:r>
          </w:p>
        </w:tc>
        <w:tc>
          <w:tcPr>
            <w:tcW w:w="1247" w:type="dxa"/>
            <w:tcBorders>
              <w:top w:val="single" w:sz="4" w:space="0" w:color="000000"/>
              <w:left w:val="nil"/>
              <w:bottom w:val="nil"/>
              <w:right w:val="nil"/>
            </w:tcBorders>
            <w:vAlign w:val="bottom"/>
          </w:tcPr>
          <w:p w:rsidR="00D0456E" w:rsidRDefault="00927C2A">
            <w:pPr>
              <w:spacing w:after="0" w:line="259" w:lineRule="auto"/>
              <w:ind w:left="0" w:right="4" w:firstLine="0"/>
              <w:jc w:val="center"/>
            </w:pPr>
            <w:r>
              <w:t>$264</w:t>
            </w:r>
            <w:r>
              <w:rPr>
                <w:b/>
              </w:rPr>
              <w:t xml:space="preserve"> </w:t>
            </w:r>
          </w:p>
        </w:tc>
      </w:tr>
      <w:tr w:rsidR="00D0456E">
        <w:trPr>
          <w:trHeight w:val="721"/>
        </w:trPr>
        <w:tc>
          <w:tcPr>
            <w:tcW w:w="1601" w:type="dxa"/>
            <w:tcBorders>
              <w:top w:val="nil"/>
              <w:left w:val="nil"/>
              <w:bottom w:val="nil"/>
              <w:right w:val="nil"/>
            </w:tcBorders>
          </w:tcPr>
          <w:p w:rsidR="00D0456E" w:rsidRDefault="00927C2A">
            <w:pPr>
              <w:spacing w:after="0" w:line="259" w:lineRule="auto"/>
              <w:ind w:left="122" w:firstLine="0"/>
              <w:jc w:val="left"/>
            </w:pPr>
            <w:r>
              <w:t xml:space="preserve">SubOne </w:t>
            </w:r>
          </w:p>
        </w:tc>
        <w:tc>
          <w:tcPr>
            <w:tcW w:w="1730" w:type="dxa"/>
            <w:tcBorders>
              <w:top w:val="nil"/>
              <w:left w:val="nil"/>
              <w:bottom w:val="nil"/>
              <w:right w:val="nil"/>
            </w:tcBorders>
          </w:tcPr>
          <w:p w:rsidR="00D0456E" w:rsidRDefault="00927C2A">
            <w:pPr>
              <w:spacing w:after="0" w:line="259" w:lineRule="auto"/>
              <w:ind w:left="480" w:firstLine="0"/>
              <w:jc w:val="left"/>
            </w:pPr>
            <w:r>
              <w:t xml:space="preserve">    200</w:t>
            </w:r>
          </w:p>
        </w:tc>
        <w:tc>
          <w:tcPr>
            <w:tcW w:w="1885" w:type="dxa"/>
            <w:tcBorders>
              <w:top w:val="nil"/>
              <w:left w:val="nil"/>
              <w:bottom w:val="nil"/>
              <w:right w:val="nil"/>
            </w:tcBorders>
          </w:tcPr>
          <w:p w:rsidR="00D0456E" w:rsidRDefault="00927C2A">
            <w:pPr>
              <w:spacing w:after="0" w:line="259" w:lineRule="auto"/>
              <w:ind w:left="779" w:firstLine="0"/>
              <w:jc w:val="left"/>
            </w:pPr>
            <w:r>
              <w:t>$0, after</w:t>
            </w:r>
          </w:p>
          <w:p w:rsidR="00D0456E" w:rsidRDefault="00927C2A">
            <w:pPr>
              <w:spacing w:after="0" w:line="259" w:lineRule="auto"/>
              <w:ind w:left="0" w:firstLine="0"/>
              <w:jc w:val="left"/>
            </w:pPr>
            <w:r>
              <w:t xml:space="preserve">  applying energy </w:t>
            </w:r>
          </w:p>
          <w:p w:rsidR="00D0456E" w:rsidRDefault="00927C2A">
            <w:pPr>
              <w:spacing w:after="0" w:line="259" w:lineRule="auto"/>
              <w:ind w:left="688" w:firstLine="0"/>
              <w:jc w:val="left"/>
            </w:pPr>
            <w:r>
              <w:t>tax credit</w:t>
            </w:r>
          </w:p>
        </w:tc>
        <w:tc>
          <w:tcPr>
            <w:tcW w:w="1471" w:type="dxa"/>
            <w:tcBorders>
              <w:top w:val="nil"/>
              <w:left w:val="nil"/>
              <w:bottom w:val="nil"/>
              <w:right w:val="nil"/>
            </w:tcBorders>
          </w:tcPr>
          <w:p w:rsidR="00D0456E" w:rsidRDefault="00927C2A">
            <w:pPr>
              <w:spacing w:after="0" w:line="259" w:lineRule="auto"/>
              <w:ind w:left="578" w:firstLine="0"/>
              <w:jc w:val="left"/>
            </w:pPr>
            <w:r>
              <w:t xml:space="preserve">  0/350 </w:t>
            </w:r>
          </w:p>
        </w:tc>
        <w:tc>
          <w:tcPr>
            <w:tcW w:w="1247" w:type="dxa"/>
            <w:tcBorders>
              <w:top w:val="nil"/>
              <w:left w:val="nil"/>
              <w:bottom w:val="nil"/>
              <w:right w:val="nil"/>
            </w:tcBorders>
          </w:tcPr>
          <w:p w:rsidR="00D0456E" w:rsidRDefault="00927C2A">
            <w:pPr>
              <w:spacing w:after="0" w:line="259" w:lineRule="auto"/>
              <w:ind w:left="343" w:firstLine="0"/>
              <w:jc w:val="left"/>
            </w:pPr>
            <w:r>
              <w:t xml:space="preserve">  –0–</w:t>
            </w:r>
          </w:p>
        </w:tc>
      </w:tr>
      <w:tr w:rsidR="00D0456E">
        <w:trPr>
          <w:trHeight w:val="240"/>
        </w:trPr>
        <w:tc>
          <w:tcPr>
            <w:tcW w:w="1601" w:type="dxa"/>
            <w:tcBorders>
              <w:top w:val="nil"/>
              <w:left w:val="nil"/>
              <w:bottom w:val="nil"/>
              <w:right w:val="nil"/>
            </w:tcBorders>
          </w:tcPr>
          <w:p w:rsidR="00D0456E" w:rsidRDefault="00927C2A">
            <w:pPr>
              <w:spacing w:after="0" w:line="259" w:lineRule="auto"/>
              <w:ind w:left="122" w:firstLine="0"/>
              <w:jc w:val="left"/>
            </w:pPr>
            <w:r>
              <w:t xml:space="preserve">SubTwo </w:t>
            </w:r>
          </w:p>
        </w:tc>
        <w:tc>
          <w:tcPr>
            <w:tcW w:w="1730" w:type="dxa"/>
            <w:tcBorders>
              <w:top w:val="nil"/>
              <w:left w:val="nil"/>
              <w:bottom w:val="nil"/>
              <w:right w:val="nil"/>
            </w:tcBorders>
          </w:tcPr>
          <w:p w:rsidR="00D0456E" w:rsidRDefault="00927C2A">
            <w:pPr>
              <w:spacing w:after="0" w:line="259" w:lineRule="auto"/>
              <w:ind w:left="480" w:firstLine="0"/>
              <w:jc w:val="left"/>
            </w:pPr>
            <w:r>
              <w:t xml:space="preserve">    150</w:t>
            </w:r>
          </w:p>
        </w:tc>
        <w:tc>
          <w:tcPr>
            <w:tcW w:w="1885" w:type="dxa"/>
            <w:tcBorders>
              <w:top w:val="nil"/>
              <w:left w:val="nil"/>
              <w:bottom w:val="nil"/>
              <w:right w:val="nil"/>
            </w:tcBorders>
          </w:tcPr>
          <w:p w:rsidR="00D0456E" w:rsidRDefault="00927C2A">
            <w:pPr>
              <w:spacing w:after="0" w:line="259" w:lineRule="auto"/>
              <w:ind w:left="1127" w:firstLine="0"/>
              <w:jc w:val="left"/>
            </w:pPr>
            <w:r>
              <w:t>52.5</w:t>
            </w:r>
          </w:p>
        </w:tc>
        <w:tc>
          <w:tcPr>
            <w:tcW w:w="1471" w:type="dxa"/>
            <w:tcBorders>
              <w:top w:val="nil"/>
              <w:left w:val="nil"/>
              <w:bottom w:val="nil"/>
              <w:right w:val="nil"/>
            </w:tcBorders>
          </w:tcPr>
          <w:p w:rsidR="00D0456E" w:rsidRDefault="00927C2A">
            <w:pPr>
              <w:spacing w:after="0" w:line="259" w:lineRule="auto"/>
              <w:ind w:left="468" w:firstLine="0"/>
              <w:jc w:val="left"/>
            </w:pPr>
            <w:r>
              <w:t xml:space="preserve">52.5/350 </w:t>
            </w:r>
          </w:p>
        </w:tc>
        <w:tc>
          <w:tcPr>
            <w:tcW w:w="1247" w:type="dxa"/>
            <w:tcBorders>
              <w:top w:val="nil"/>
              <w:left w:val="nil"/>
              <w:bottom w:val="nil"/>
              <w:right w:val="nil"/>
            </w:tcBorders>
          </w:tcPr>
          <w:p w:rsidR="00D0456E" w:rsidRDefault="00927C2A">
            <w:pPr>
              <w:spacing w:after="0" w:line="259" w:lineRule="auto"/>
              <w:ind w:left="371" w:firstLine="0"/>
              <w:jc w:val="left"/>
            </w:pPr>
            <w:r>
              <w:t xml:space="preserve">   46</w:t>
            </w:r>
          </w:p>
        </w:tc>
      </w:tr>
      <w:tr w:rsidR="00D0456E">
        <w:trPr>
          <w:trHeight w:val="240"/>
        </w:trPr>
        <w:tc>
          <w:tcPr>
            <w:tcW w:w="1601" w:type="dxa"/>
            <w:tcBorders>
              <w:top w:val="nil"/>
              <w:left w:val="nil"/>
              <w:bottom w:val="nil"/>
              <w:right w:val="nil"/>
            </w:tcBorders>
          </w:tcPr>
          <w:p w:rsidR="00D0456E" w:rsidRDefault="00927C2A">
            <w:pPr>
              <w:spacing w:after="0" w:line="259" w:lineRule="auto"/>
              <w:ind w:left="122" w:firstLine="0"/>
              <w:jc w:val="left"/>
            </w:pPr>
            <w:r>
              <w:t xml:space="preserve">SubThree </w:t>
            </w:r>
          </w:p>
        </w:tc>
        <w:tc>
          <w:tcPr>
            <w:tcW w:w="1730" w:type="dxa"/>
            <w:tcBorders>
              <w:top w:val="nil"/>
              <w:left w:val="nil"/>
              <w:bottom w:val="nil"/>
              <w:right w:val="nil"/>
            </w:tcBorders>
          </w:tcPr>
          <w:p w:rsidR="00D0456E" w:rsidRDefault="00927C2A">
            <w:pPr>
              <w:spacing w:after="0" w:line="259" w:lineRule="auto"/>
              <w:ind w:left="452" w:firstLine="0"/>
              <w:jc w:val="left"/>
            </w:pPr>
            <w:r>
              <w:rPr>
                <w:u w:val="single" w:color="000000"/>
              </w:rPr>
              <w:t xml:space="preserve">     –0–</w:t>
            </w:r>
          </w:p>
        </w:tc>
        <w:tc>
          <w:tcPr>
            <w:tcW w:w="1885" w:type="dxa"/>
            <w:tcBorders>
              <w:top w:val="nil"/>
              <w:left w:val="nil"/>
              <w:bottom w:val="nil"/>
              <w:right w:val="nil"/>
            </w:tcBorders>
          </w:tcPr>
          <w:p w:rsidR="00D0456E" w:rsidRDefault="00927C2A">
            <w:pPr>
              <w:spacing w:after="0" w:line="259" w:lineRule="auto"/>
              <w:ind w:left="962" w:firstLine="0"/>
              <w:jc w:val="left"/>
            </w:pPr>
            <w:r>
              <w:rPr>
                <w:u w:val="single" w:color="000000"/>
              </w:rPr>
              <w:t xml:space="preserve">    –0–</w:t>
            </w:r>
          </w:p>
        </w:tc>
        <w:tc>
          <w:tcPr>
            <w:tcW w:w="1471" w:type="dxa"/>
            <w:tcBorders>
              <w:top w:val="nil"/>
              <w:left w:val="nil"/>
              <w:bottom w:val="nil"/>
              <w:right w:val="nil"/>
            </w:tcBorders>
          </w:tcPr>
          <w:p w:rsidR="00D0456E" w:rsidRDefault="00927C2A">
            <w:pPr>
              <w:spacing w:after="0" w:line="259" w:lineRule="auto"/>
              <w:ind w:left="529" w:firstLine="0"/>
              <w:jc w:val="left"/>
            </w:pPr>
            <w:r>
              <w:t xml:space="preserve">           0 </w:t>
            </w:r>
          </w:p>
        </w:tc>
        <w:tc>
          <w:tcPr>
            <w:tcW w:w="1247" w:type="dxa"/>
            <w:tcBorders>
              <w:top w:val="nil"/>
              <w:left w:val="nil"/>
              <w:bottom w:val="nil"/>
              <w:right w:val="nil"/>
            </w:tcBorders>
          </w:tcPr>
          <w:p w:rsidR="00D0456E" w:rsidRDefault="00927C2A">
            <w:pPr>
              <w:spacing w:after="0" w:line="259" w:lineRule="auto"/>
              <w:ind w:left="327" w:firstLine="0"/>
              <w:jc w:val="left"/>
            </w:pPr>
            <w:r>
              <w:rPr>
                <w:u w:val="single" w:color="000000"/>
              </w:rPr>
              <w:t xml:space="preserve">   –0–</w:t>
            </w:r>
          </w:p>
        </w:tc>
      </w:tr>
      <w:tr w:rsidR="00D0456E">
        <w:trPr>
          <w:trHeight w:val="345"/>
        </w:trPr>
        <w:tc>
          <w:tcPr>
            <w:tcW w:w="1601" w:type="dxa"/>
            <w:tcBorders>
              <w:top w:val="nil"/>
              <w:left w:val="nil"/>
              <w:bottom w:val="single" w:sz="4" w:space="0" w:color="000000"/>
              <w:right w:val="nil"/>
            </w:tcBorders>
          </w:tcPr>
          <w:p w:rsidR="00D0456E" w:rsidRDefault="00927C2A">
            <w:pPr>
              <w:spacing w:after="0" w:line="259" w:lineRule="auto"/>
              <w:ind w:left="122" w:firstLine="0"/>
              <w:jc w:val="left"/>
            </w:pPr>
            <w:r>
              <w:t xml:space="preserve">Totals </w:t>
            </w:r>
          </w:p>
        </w:tc>
        <w:tc>
          <w:tcPr>
            <w:tcW w:w="1730" w:type="dxa"/>
            <w:tcBorders>
              <w:top w:val="nil"/>
              <w:left w:val="nil"/>
              <w:bottom w:val="single" w:sz="4" w:space="0" w:color="000000"/>
              <w:right w:val="nil"/>
            </w:tcBorders>
          </w:tcPr>
          <w:p w:rsidR="00D0456E" w:rsidRDefault="00927C2A">
            <w:pPr>
              <w:spacing w:after="0" w:line="259" w:lineRule="auto"/>
              <w:ind w:left="453" w:firstLine="0"/>
              <w:jc w:val="left"/>
            </w:pPr>
            <w:r>
              <w:rPr>
                <w:u w:val="double" w:color="000000"/>
              </w:rPr>
              <w:t>$1,200</w:t>
            </w:r>
          </w:p>
        </w:tc>
        <w:tc>
          <w:tcPr>
            <w:tcW w:w="1885" w:type="dxa"/>
            <w:tcBorders>
              <w:top w:val="nil"/>
              <w:left w:val="nil"/>
              <w:bottom w:val="single" w:sz="4" w:space="0" w:color="000000"/>
              <w:right w:val="nil"/>
            </w:tcBorders>
          </w:tcPr>
          <w:p w:rsidR="00D0456E" w:rsidRDefault="00927C2A">
            <w:pPr>
              <w:spacing w:after="0" w:line="259" w:lineRule="auto"/>
              <w:ind w:left="907" w:firstLine="0"/>
              <w:jc w:val="left"/>
            </w:pPr>
            <w:r>
              <w:rPr>
                <w:u w:val="double" w:color="000000"/>
              </w:rPr>
              <w:t>$350.0</w:t>
            </w:r>
          </w:p>
        </w:tc>
        <w:tc>
          <w:tcPr>
            <w:tcW w:w="1471" w:type="dxa"/>
            <w:tcBorders>
              <w:top w:val="nil"/>
              <w:left w:val="nil"/>
              <w:bottom w:val="single" w:sz="4" w:space="0" w:color="000000"/>
              <w:right w:val="nil"/>
            </w:tcBorders>
          </w:tcPr>
          <w:p w:rsidR="00D0456E" w:rsidRDefault="00D0456E">
            <w:pPr>
              <w:spacing w:after="160" w:line="259" w:lineRule="auto"/>
              <w:ind w:left="0" w:firstLine="0"/>
              <w:jc w:val="left"/>
            </w:pPr>
          </w:p>
        </w:tc>
        <w:tc>
          <w:tcPr>
            <w:tcW w:w="1247" w:type="dxa"/>
            <w:tcBorders>
              <w:top w:val="nil"/>
              <w:left w:val="nil"/>
              <w:bottom w:val="single" w:sz="4" w:space="0" w:color="000000"/>
              <w:right w:val="nil"/>
            </w:tcBorders>
          </w:tcPr>
          <w:p w:rsidR="00D0456E" w:rsidRDefault="00927C2A">
            <w:pPr>
              <w:spacing w:after="0" w:line="259" w:lineRule="auto"/>
              <w:ind w:left="343" w:firstLine="0"/>
              <w:jc w:val="left"/>
            </w:pPr>
            <w:r>
              <w:rPr>
                <w:u w:val="double" w:color="000000"/>
              </w:rPr>
              <w:t>$310</w:t>
            </w:r>
          </w:p>
        </w:tc>
      </w:tr>
    </w:tbl>
    <w:p w:rsidR="00D0456E" w:rsidRDefault="00927C2A">
      <w:pPr>
        <w:spacing w:after="0" w:line="259" w:lineRule="auto"/>
        <w:ind w:left="0" w:firstLine="0"/>
        <w:jc w:val="left"/>
      </w:pPr>
      <w:r>
        <w:rPr>
          <w:sz w:val="2"/>
        </w:rPr>
        <w:t xml:space="preserve"> </w:t>
      </w:r>
    </w:p>
    <w:p w:rsidR="00D0456E" w:rsidRDefault="00927C2A">
      <w:pPr>
        <w:numPr>
          <w:ilvl w:val="0"/>
          <w:numId w:val="14"/>
        </w:numPr>
        <w:spacing w:after="249"/>
        <w:ind w:right="43" w:hanging="720"/>
      </w:pPr>
      <w:r>
        <w:t xml:space="preserve">(LO 5) ACE Adjustment = .75(ACE – Pre-ACE AMTI) </w:t>
      </w:r>
    </w:p>
    <w:p w:rsidR="00D0456E" w:rsidRDefault="00927C2A">
      <w:pPr>
        <w:tabs>
          <w:tab w:val="center" w:pos="1813"/>
          <w:tab w:val="center" w:pos="3746"/>
          <w:tab w:val="center" w:pos="6155"/>
        </w:tabs>
        <w:ind w:left="0" w:firstLine="0"/>
        <w:jc w:val="left"/>
      </w:pPr>
      <w:r>
        <w:rPr>
          <w:rFonts w:ascii="Calibri" w:eastAsia="Calibri" w:hAnsi="Calibri" w:cs="Calibri"/>
        </w:rPr>
        <w:tab/>
      </w:r>
      <w:r>
        <w:rPr>
          <w:b/>
        </w:rPr>
        <w:t>Without consolidation</w:t>
      </w:r>
      <w:r>
        <w:t xml:space="preserve"> </w:t>
      </w:r>
      <w:r>
        <w:tab/>
        <w:t xml:space="preserve">ParentCo  </w:t>
      </w:r>
      <w:r>
        <w:tab/>
        <w:t xml:space="preserve">.75($600,000) = $450,000 </w:t>
      </w:r>
    </w:p>
    <w:p w:rsidR="00D0456E" w:rsidRDefault="00927C2A">
      <w:pPr>
        <w:tabs>
          <w:tab w:val="center" w:pos="2210"/>
          <w:tab w:val="center" w:pos="3874"/>
          <w:tab w:val="center" w:pos="6754"/>
        </w:tabs>
        <w:ind w:left="0" w:firstLine="0"/>
        <w:jc w:val="left"/>
      </w:pPr>
      <w:r>
        <w:rPr>
          <w:rFonts w:ascii="Calibri" w:eastAsia="Calibri" w:hAnsi="Calibri" w:cs="Calibri"/>
        </w:rPr>
        <w:tab/>
      </w:r>
      <w:r>
        <w:t xml:space="preserve"> </w:t>
      </w:r>
      <w:r>
        <w:tab/>
        <w:t xml:space="preserve">DaughterCo </w:t>
      </w:r>
      <w:r>
        <w:tab/>
        <w:t xml:space="preserve">$0 {Negative $112,500 [.75($150,000)] </w:t>
      </w:r>
    </w:p>
    <w:p w:rsidR="00D0456E" w:rsidRDefault="00927C2A">
      <w:pPr>
        <w:spacing w:after="252"/>
        <w:ind w:left="2220" w:right="2049"/>
      </w:pPr>
      <w:r>
        <w:t xml:space="preserve"> </w:t>
      </w:r>
      <w:r>
        <w:tab/>
        <w:t xml:space="preserve"> </w:t>
      </w:r>
      <w:r>
        <w:tab/>
        <w:t xml:space="preserve"> </w:t>
      </w:r>
      <w:r>
        <w:tab/>
        <w:t xml:space="preserve">    adjustment is wasted}  </w:t>
      </w:r>
      <w:r>
        <w:tab/>
        <w:t xml:space="preserve">Group  </w:t>
      </w:r>
      <w:r>
        <w:tab/>
        <w:t xml:space="preserve">$450,000 </w:t>
      </w:r>
    </w:p>
    <w:p w:rsidR="00D0456E" w:rsidRDefault="00927C2A">
      <w:pPr>
        <w:tabs>
          <w:tab w:val="center" w:pos="1506"/>
          <w:tab w:val="center" w:pos="3617"/>
          <w:tab w:val="center" w:pos="6154"/>
        </w:tabs>
        <w:ind w:left="0" w:firstLine="0"/>
        <w:jc w:val="left"/>
      </w:pPr>
      <w:r>
        <w:rPr>
          <w:rFonts w:ascii="Calibri" w:eastAsia="Calibri" w:hAnsi="Calibri" w:cs="Calibri"/>
        </w:rPr>
        <w:tab/>
      </w:r>
      <w:r>
        <w:rPr>
          <w:b/>
        </w:rPr>
        <w:t>As consolidated</w:t>
      </w:r>
      <w:r>
        <w:t xml:space="preserve"> </w:t>
      </w:r>
      <w:r>
        <w:tab/>
        <w:t xml:space="preserve">Group  </w:t>
      </w:r>
      <w:r>
        <w:tab/>
        <w:t xml:space="preserve">.75($450,000) = $337,500 </w:t>
      </w:r>
    </w:p>
    <w:p w:rsidR="00D0456E" w:rsidRDefault="00927C2A">
      <w:pPr>
        <w:spacing w:after="0" w:line="259" w:lineRule="auto"/>
        <w:ind w:left="770" w:firstLine="0"/>
        <w:jc w:val="left"/>
      </w:pPr>
      <w:r>
        <w:t xml:space="preserve"> </w:t>
      </w:r>
    </w:p>
    <w:p w:rsidR="00D0456E" w:rsidRDefault="00927C2A">
      <w:pPr>
        <w:spacing w:after="221"/>
        <w:ind w:left="770" w:right="43" w:hanging="720"/>
      </w:pPr>
      <w:r>
        <w:t xml:space="preserve">  The unused “negative” ACE adjustment of $112,500 genera</w:t>
      </w:r>
      <w:r>
        <w:t xml:space="preserve">ted by DaughterCo is used by the group when a consolidation election is in force. </w:t>
      </w:r>
    </w:p>
    <w:p w:rsidR="00D0456E" w:rsidRDefault="00927C2A">
      <w:pPr>
        <w:pStyle w:val="Heading1"/>
        <w:tabs>
          <w:tab w:val="center" w:pos="1568"/>
        </w:tabs>
        <w:spacing w:after="211"/>
        <w:ind w:left="-15" w:firstLine="0"/>
      </w:pPr>
      <w:r>
        <w:t xml:space="preserve">  </w:t>
      </w:r>
      <w:r>
        <w:tab/>
        <w:t xml:space="preserve">AMT Exemption </w:t>
      </w:r>
    </w:p>
    <w:p w:rsidR="00D0456E" w:rsidRDefault="00927C2A">
      <w:pPr>
        <w:spacing w:after="221"/>
        <w:ind w:left="770" w:right="43" w:hanging="720"/>
      </w:pPr>
      <w:r>
        <w:t xml:space="preserve">  The affiliates share one exemption, but because of the phaseout percentages, the exemption becomes zero whether or not a consolidation election is made. </w:t>
      </w:r>
    </w:p>
    <w:p w:rsidR="00D0456E" w:rsidRDefault="00927C2A">
      <w:pPr>
        <w:spacing w:after="248"/>
        <w:ind w:left="770" w:right="43" w:hanging="720"/>
      </w:pPr>
      <w:r>
        <w:t xml:space="preserve">  Thus, the election to consolidate benefits the group overall by reducing the group liability by $22,500 ($112,500 reduction in aggregate ACE adjustment × 20% AMT), in a manner traceable to the computation of the ACE adjustment. </w:t>
      </w:r>
    </w:p>
    <w:p w:rsidR="00D0456E" w:rsidRDefault="00927C2A">
      <w:pPr>
        <w:numPr>
          <w:ilvl w:val="0"/>
          <w:numId w:val="15"/>
        </w:numPr>
        <w:ind w:right="43" w:hanging="720"/>
      </w:pPr>
      <w:r>
        <w:t xml:space="preserve">(LO 6) </w:t>
      </w:r>
    </w:p>
    <w:tbl>
      <w:tblPr>
        <w:tblStyle w:val="TableGrid"/>
        <w:tblW w:w="7952" w:type="dxa"/>
        <w:tblInd w:w="846" w:type="dxa"/>
        <w:tblCellMar>
          <w:top w:w="13" w:type="dxa"/>
          <w:left w:w="0" w:type="dxa"/>
          <w:bottom w:w="20" w:type="dxa"/>
          <w:right w:w="100" w:type="dxa"/>
        </w:tblCellMar>
        <w:tblLook w:val="04A0" w:firstRow="1" w:lastRow="0" w:firstColumn="1" w:lastColumn="0" w:noHBand="0" w:noVBand="1"/>
      </w:tblPr>
      <w:tblGrid>
        <w:gridCol w:w="1974"/>
        <w:gridCol w:w="1870"/>
        <w:gridCol w:w="1587"/>
        <w:gridCol w:w="2521"/>
      </w:tblGrid>
      <w:tr w:rsidR="00D0456E">
        <w:trPr>
          <w:trHeight w:val="889"/>
        </w:trPr>
        <w:tc>
          <w:tcPr>
            <w:tcW w:w="1974" w:type="dxa"/>
            <w:tcBorders>
              <w:top w:val="single" w:sz="4" w:space="0" w:color="000000"/>
              <w:left w:val="nil"/>
              <w:bottom w:val="single" w:sz="4" w:space="0" w:color="000000"/>
              <w:right w:val="nil"/>
            </w:tcBorders>
          </w:tcPr>
          <w:p w:rsidR="00D0456E" w:rsidRDefault="00927C2A">
            <w:pPr>
              <w:spacing w:after="0" w:line="259" w:lineRule="auto"/>
              <w:ind w:left="29" w:firstLine="0"/>
              <w:jc w:val="left"/>
            </w:pPr>
            <w:r>
              <w:rPr>
                <w:b/>
              </w:rPr>
              <w:t xml:space="preserve">  Stock Basis at </w:t>
            </w:r>
          </w:p>
          <w:p w:rsidR="00D0456E" w:rsidRDefault="00927C2A">
            <w:pPr>
              <w:spacing w:after="0" w:line="259" w:lineRule="auto"/>
              <w:ind w:left="29" w:firstLine="0"/>
              <w:jc w:val="left"/>
            </w:pPr>
            <w:r>
              <w:rPr>
                <w:b/>
              </w:rPr>
              <w:t xml:space="preserve">    End of Tax </w:t>
            </w:r>
          </w:p>
          <w:p w:rsidR="00D0456E" w:rsidRDefault="00927C2A">
            <w:pPr>
              <w:spacing w:after="0" w:line="259" w:lineRule="auto"/>
              <w:ind w:left="29" w:firstLine="0"/>
              <w:jc w:val="left"/>
            </w:pPr>
            <w:r>
              <w:rPr>
                <w:b/>
              </w:rPr>
              <w:t xml:space="preserve">         Year </w:t>
            </w:r>
          </w:p>
        </w:tc>
        <w:tc>
          <w:tcPr>
            <w:tcW w:w="1871" w:type="dxa"/>
            <w:tcBorders>
              <w:top w:val="single" w:sz="4" w:space="0" w:color="000000"/>
              <w:left w:val="nil"/>
              <w:bottom w:val="single" w:sz="4" w:space="0" w:color="000000"/>
              <w:right w:val="nil"/>
            </w:tcBorders>
          </w:tcPr>
          <w:p w:rsidR="00D0456E" w:rsidRDefault="00927C2A">
            <w:pPr>
              <w:spacing w:after="0" w:line="259" w:lineRule="auto"/>
              <w:ind w:left="510" w:firstLine="0"/>
              <w:jc w:val="left"/>
            </w:pPr>
            <w:r>
              <w:rPr>
                <w:b/>
              </w:rPr>
              <w:t xml:space="preserve"> </w:t>
            </w:r>
          </w:p>
          <w:p w:rsidR="00D0456E" w:rsidRDefault="00927C2A">
            <w:pPr>
              <w:spacing w:after="0" w:line="259" w:lineRule="auto"/>
              <w:ind w:left="510" w:firstLine="0"/>
              <w:jc w:val="left"/>
            </w:pPr>
            <w:r>
              <w:rPr>
                <w:b/>
              </w:rPr>
              <w:t xml:space="preserve"> </w:t>
            </w:r>
          </w:p>
          <w:p w:rsidR="00D0456E" w:rsidRDefault="00927C2A">
            <w:pPr>
              <w:spacing w:after="0" w:line="259" w:lineRule="auto"/>
              <w:ind w:left="382" w:firstLine="0"/>
              <w:jc w:val="left"/>
            </w:pPr>
            <w:r>
              <w:rPr>
                <w:b/>
              </w:rPr>
              <w:t xml:space="preserve">(a) </w:t>
            </w:r>
          </w:p>
        </w:tc>
        <w:tc>
          <w:tcPr>
            <w:tcW w:w="1587" w:type="dxa"/>
            <w:tcBorders>
              <w:top w:val="single" w:sz="4" w:space="0" w:color="000000"/>
              <w:left w:val="nil"/>
              <w:bottom w:val="single" w:sz="4" w:space="0" w:color="000000"/>
              <w:right w:val="nil"/>
            </w:tcBorders>
          </w:tcPr>
          <w:p w:rsidR="00D0456E" w:rsidRDefault="00927C2A">
            <w:pPr>
              <w:spacing w:after="0" w:line="259" w:lineRule="auto"/>
              <w:ind w:left="511" w:firstLine="0"/>
              <w:jc w:val="left"/>
            </w:pPr>
            <w:r>
              <w:rPr>
                <w:b/>
              </w:rPr>
              <w:t xml:space="preserve"> </w:t>
            </w:r>
          </w:p>
          <w:p w:rsidR="00D0456E" w:rsidRDefault="00927C2A">
            <w:pPr>
              <w:spacing w:after="0" w:line="259" w:lineRule="auto"/>
              <w:ind w:left="511" w:firstLine="0"/>
              <w:jc w:val="left"/>
            </w:pPr>
            <w:r>
              <w:rPr>
                <w:b/>
              </w:rPr>
              <w:t xml:space="preserve"> </w:t>
            </w:r>
          </w:p>
          <w:p w:rsidR="00D0456E" w:rsidRDefault="00927C2A">
            <w:pPr>
              <w:spacing w:after="0" w:line="259" w:lineRule="auto"/>
              <w:ind w:left="376" w:firstLine="0"/>
              <w:jc w:val="left"/>
            </w:pPr>
            <w:r>
              <w:rPr>
                <w:b/>
              </w:rPr>
              <w:t xml:space="preserve">(b) </w:t>
            </w:r>
          </w:p>
        </w:tc>
        <w:tc>
          <w:tcPr>
            <w:tcW w:w="2522" w:type="dxa"/>
            <w:tcBorders>
              <w:top w:val="single" w:sz="4" w:space="0" w:color="000000"/>
              <w:left w:val="nil"/>
              <w:bottom w:val="single" w:sz="4" w:space="0" w:color="000000"/>
              <w:right w:val="nil"/>
            </w:tcBorders>
          </w:tcPr>
          <w:p w:rsidR="00D0456E" w:rsidRDefault="00927C2A">
            <w:pPr>
              <w:spacing w:after="0" w:line="259" w:lineRule="auto"/>
              <w:ind w:left="42" w:firstLine="0"/>
              <w:jc w:val="center"/>
            </w:pPr>
            <w:r>
              <w:rPr>
                <w:b/>
              </w:rPr>
              <w:t xml:space="preserve"> </w:t>
            </w:r>
          </w:p>
          <w:p w:rsidR="00D0456E" w:rsidRDefault="00927C2A">
            <w:pPr>
              <w:spacing w:after="0" w:line="259" w:lineRule="auto"/>
              <w:ind w:left="42" w:firstLine="0"/>
              <w:jc w:val="center"/>
            </w:pPr>
            <w:r>
              <w:rPr>
                <w:b/>
              </w:rPr>
              <w:t xml:space="preserve"> </w:t>
            </w:r>
          </w:p>
          <w:p w:rsidR="00D0456E" w:rsidRDefault="00927C2A">
            <w:pPr>
              <w:spacing w:after="0" w:line="259" w:lineRule="auto"/>
              <w:ind w:left="0" w:right="14" w:firstLine="0"/>
              <w:jc w:val="center"/>
            </w:pPr>
            <w:r>
              <w:rPr>
                <w:b/>
              </w:rPr>
              <w:t xml:space="preserve">(c) </w:t>
            </w:r>
          </w:p>
        </w:tc>
      </w:tr>
      <w:tr w:rsidR="00D0456E">
        <w:trPr>
          <w:trHeight w:val="384"/>
        </w:trPr>
        <w:tc>
          <w:tcPr>
            <w:tcW w:w="1974" w:type="dxa"/>
            <w:tcBorders>
              <w:top w:val="single" w:sz="4" w:space="0" w:color="000000"/>
              <w:left w:val="nil"/>
              <w:bottom w:val="nil"/>
              <w:right w:val="nil"/>
            </w:tcBorders>
            <w:vAlign w:val="bottom"/>
          </w:tcPr>
          <w:p w:rsidR="00D0456E" w:rsidRDefault="00927C2A">
            <w:pPr>
              <w:spacing w:after="0" w:line="259" w:lineRule="auto"/>
              <w:ind w:left="739" w:firstLine="0"/>
              <w:jc w:val="left"/>
            </w:pPr>
            <w:r>
              <w:t xml:space="preserve">1 </w:t>
            </w:r>
          </w:p>
        </w:tc>
        <w:tc>
          <w:tcPr>
            <w:tcW w:w="1871" w:type="dxa"/>
            <w:tcBorders>
              <w:top w:val="single" w:sz="4" w:space="0" w:color="000000"/>
              <w:left w:val="nil"/>
              <w:bottom w:val="nil"/>
              <w:right w:val="nil"/>
            </w:tcBorders>
            <w:vAlign w:val="bottom"/>
          </w:tcPr>
          <w:p w:rsidR="00D0456E" w:rsidRDefault="00927C2A">
            <w:pPr>
              <w:spacing w:after="0" w:line="259" w:lineRule="auto"/>
              <w:ind w:left="0" w:firstLine="0"/>
              <w:jc w:val="left"/>
            </w:pPr>
            <w:r>
              <w:t xml:space="preserve">$34 million </w:t>
            </w:r>
          </w:p>
        </w:tc>
        <w:tc>
          <w:tcPr>
            <w:tcW w:w="1587" w:type="dxa"/>
            <w:tcBorders>
              <w:top w:val="single" w:sz="4" w:space="0" w:color="000000"/>
              <w:left w:val="nil"/>
              <w:bottom w:val="nil"/>
              <w:right w:val="nil"/>
            </w:tcBorders>
            <w:vAlign w:val="bottom"/>
          </w:tcPr>
          <w:p w:rsidR="00D0456E" w:rsidRDefault="00927C2A">
            <w:pPr>
              <w:spacing w:after="0" w:line="259" w:lineRule="auto"/>
              <w:ind w:left="1" w:firstLine="0"/>
              <w:jc w:val="left"/>
            </w:pPr>
            <w:r>
              <w:t>$34 million</w:t>
            </w:r>
          </w:p>
        </w:tc>
        <w:tc>
          <w:tcPr>
            <w:tcW w:w="2522" w:type="dxa"/>
            <w:tcBorders>
              <w:top w:val="single" w:sz="4" w:space="0" w:color="000000"/>
              <w:left w:val="nil"/>
              <w:bottom w:val="nil"/>
              <w:right w:val="nil"/>
            </w:tcBorders>
            <w:vAlign w:val="bottom"/>
          </w:tcPr>
          <w:p w:rsidR="00D0456E" w:rsidRDefault="00927C2A">
            <w:pPr>
              <w:spacing w:after="0" w:line="259" w:lineRule="auto"/>
              <w:ind w:left="2" w:firstLine="0"/>
              <w:jc w:val="left"/>
            </w:pPr>
            <w:r>
              <w:t>$34 million</w:t>
            </w:r>
          </w:p>
        </w:tc>
      </w:tr>
      <w:tr w:rsidR="00D0456E">
        <w:trPr>
          <w:trHeight w:val="480"/>
        </w:trPr>
        <w:tc>
          <w:tcPr>
            <w:tcW w:w="1974" w:type="dxa"/>
            <w:tcBorders>
              <w:top w:val="nil"/>
              <w:left w:val="nil"/>
              <w:bottom w:val="nil"/>
              <w:right w:val="nil"/>
            </w:tcBorders>
          </w:tcPr>
          <w:p w:rsidR="00D0456E" w:rsidRDefault="00927C2A">
            <w:pPr>
              <w:spacing w:after="0" w:line="259" w:lineRule="auto"/>
              <w:ind w:left="739" w:firstLine="0"/>
              <w:jc w:val="left"/>
            </w:pPr>
            <w:r>
              <w:t xml:space="preserve">2 </w:t>
            </w:r>
          </w:p>
        </w:tc>
        <w:tc>
          <w:tcPr>
            <w:tcW w:w="1871" w:type="dxa"/>
            <w:tcBorders>
              <w:top w:val="nil"/>
              <w:left w:val="nil"/>
              <w:bottom w:val="nil"/>
              <w:right w:val="nil"/>
            </w:tcBorders>
          </w:tcPr>
          <w:p w:rsidR="00D0456E" w:rsidRDefault="00927C2A">
            <w:pPr>
              <w:spacing w:after="0" w:line="259" w:lineRule="auto"/>
              <w:ind w:left="0" w:firstLine="0"/>
              <w:jc w:val="left"/>
            </w:pPr>
            <w:r>
              <w:t xml:space="preserve">$37 million </w:t>
            </w:r>
          </w:p>
        </w:tc>
        <w:tc>
          <w:tcPr>
            <w:tcW w:w="1587" w:type="dxa"/>
            <w:tcBorders>
              <w:top w:val="nil"/>
              <w:left w:val="nil"/>
              <w:bottom w:val="nil"/>
              <w:right w:val="nil"/>
            </w:tcBorders>
          </w:tcPr>
          <w:p w:rsidR="00D0456E" w:rsidRDefault="00927C2A">
            <w:pPr>
              <w:spacing w:after="0" w:line="259" w:lineRule="auto"/>
              <w:ind w:left="0" w:firstLine="0"/>
              <w:jc w:val="left"/>
            </w:pPr>
            <w:r>
              <w:t>$19 million</w:t>
            </w:r>
          </w:p>
        </w:tc>
        <w:tc>
          <w:tcPr>
            <w:tcW w:w="2522" w:type="dxa"/>
            <w:tcBorders>
              <w:top w:val="nil"/>
              <w:left w:val="nil"/>
              <w:bottom w:val="nil"/>
              <w:right w:val="nil"/>
            </w:tcBorders>
          </w:tcPr>
          <w:p w:rsidR="00D0456E" w:rsidRDefault="00927C2A">
            <w:pPr>
              <w:spacing w:after="0" w:line="259" w:lineRule="auto"/>
              <w:ind w:left="434" w:hanging="433"/>
              <w:jc w:val="left"/>
            </w:pPr>
            <w:r>
              <w:t xml:space="preserve">$0 stock basis, $15 million Excess Loss Account </w:t>
            </w:r>
          </w:p>
        </w:tc>
      </w:tr>
      <w:tr w:rsidR="00D0456E">
        <w:trPr>
          <w:trHeight w:val="585"/>
        </w:trPr>
        <w:tc>
          <w:tcPr>
            <w:tcW w:w="1974" w:type="dxa"/>
            <w:tcBorders>
              <w:top w:val="nil"/>
              <w:left w:val="nil"/>
              <w:bottom w:val="single" w:sz="4" w:space="0" w:color="000000"/>
              <w:right w:val="nil"/>
            </w:tcBorders>
          </w:tcPr>
          <w:p w:rsidR="00D0456E" w:rsidRDefault="00927C2A">
            <w:pPr>
              <w:spacing w:after="0" w:line="259" w:lineRule="auto"/>
              <w:ind w:left="739" w:firstLine="0"/>
              <w:jc w:val="left"/>
            </w:pPr>
            <w:r>
              <w:t xml:space="preserve">3 </w:t>
            </w:r>
          </w:p>
        </w:tc>
        <w:tc>
          <w:tcPr>
            <w:tcW w:w="1871" w:type="dxa"/>
            <w:tcBorders>
              <w:top w:val="nil"/>
              <w:left w:val="nil"/>
              <w:bottom w:val="single" w:sz="4" w:space="0" w:color="000000"/>
              <w:right w:val="nil"/>
            </w:tcBorders>
          </w:tcPr>
          <w:p w:rsidR="00D0456E" w:rsidRDefault="00927C2A">
            <w:pPr>
              <w:spacing w:after="0" w:line="259" w:lineRule="auto"/>
              <w:ind w:left="0" w:firstLine="0"/>
              <w:jc w:val="left"/>
            </w:pPr>
            <w:r>
              <w:t xml:space="preserve">$52 million </w:t>
            </w:r>
          </w:p>
        </w:tc>
        <w:tc>
          <w:tcPr>
            <w:tcW w:w="1587" w:type="dxa"/>
            <w:tcBorders>
              <w:top w:val="nil"/>
              <w:left w:val="nil"/>
              <w:bottom w:val="single" w:sz="4" w:space="0" w:color="000000"/>
              <w:right w:val="nil"/>
            </w:tcBorders>
          </w:tcPr>
          <w:p w:rsidR="00D0456E" w:rsidRDefault="00927C2A">
            <w:pPr>
              <w:spacing w:after="0" w:line="259" w:lineRule="auto"/>
              <w:ind w:left="0" w:firstLine="0"/>
              <w:jc w:val="left"/>
            </w:pPr>
            <w:r>
              <w:t>$34 million</w:t>
            </w:r>
          </w:p>
        </w:tc>
        <w:tc>
          <w:tcPr>
            <w:tcW w:w="2522" w:type="dxa"/>
            <w:tcBorders>
              <w:top w:val="nil"/>
              <w:left w:val="nil"/>
              <w:bottom w:val="single" w:sz="4" w:space="0" w:color="000000"/>
              <w:right w:val="nil"/>
            </w:tcBorders>
          </w:tcPr>
          <w:p w:rsidR="00D0456E" w:rsidRDefault="00927C2A">
            <w:pPr>
              <w:spacing w:after="0" w:line="259" w:lineRule="auto"/>
              <w:ind w:left="434" w:hanging="434"/>
              <w:jc w:val="left"/>
            </w:pPr>
            <w:r>
              <w:t xml:space="preserve">$0 stock basis, $0 Excess Loss Account </w:t>
            </w:r>
          </w:p>
        </w:tc>
      </w:tr>
    </w:tbl>
    <w:p w:rsidR="00D0456E" w:rsidRDefault="00927C2A">
      <w:pPr>
        <w:spacing w:after="0" w:line="259" w:lineRule="auto"/>
        <w:ind w:left="50" w:right="1029" w:firstLine="0"/>
        <w:jc w:val="left"/>
      </w:pPr>
      <w:r>
        <w:rPr>
          <w:rFonts w:ascii="Arial" w:eastAsia="Arial" w:hAnsi="Arial" w:cs="Arial"/>
        </w:rPr>
        <w:t xml:space="preserve"> </w:t>
      </w:r>
    </w:p>
    <w:p w:rsidR="00D0456E" w:rsidRDefault="00927C2A">
      <w:pPr>
        <w:ind w:left="715" w:right="43"/>
      </w:pPr>
      <w:r>
        <w:t xml:space="preserve">If a subsidiary is sold while its parent holds an Excess Loss Account, capital gain income is created to the extent of the account balance. </w:t>
      </w:r>
    </w:p>
    <w:p w:rsidR="00D0456E" w:rsidRDefault="00927C2A">
      <w:pPr>
        <w:spacing w:after="3" w:line="259" w:lineRule="auto"/>
        <w:ind w:left="770" w:firstLine="0"/>
        <w:jc w:val="left"/>
      </w:pPr>
      <w:r>
        <w:t xml:space="preserve"> </w:t>
      </w:r>
    </w:p>
    <w:p w:rsidR="00D0456E" w:rsidRDefault="00927C2A">
      <w:pPr>
        <w:spacing w:after="192"/>
        <w:ind w:left="1425" w:right="43" w:hanging="720"/>
      </w:pPr>
      <w:r>
        <w:t xml:space="preserve">d. </w:t>
      </w:r>
      <w:r>
        <w:tab/>
        <w:t xml:space="preserve">Year 1 ELA = (MAX 0,(– (Purchase price + Year 1 operating gain/(loss) – Year 1 dividend paid))) </w:t>
      </w:r>
    </w:p>
    <w:p w:rsidR="00D0456E" w:rsidRDefault="00927C2A">
      <w:pPr>
        <w:spacing w:after="193"/>
        <w:ind w:left="1500" w:right="43"/>
      </w:pPr>
      <w:r>
        <w:t xml:space="preserve">Year 2 ELA = (MAX 0,(– (Purchase price + Year 1 operating gain/(loss) – Year 1 dividend paid + Year 2 operating gain/(loss) – Year 2 dividend paid))) </w:t>
      </w:r>
    </w:p>
    <w:p w:rsidR="00D0456E" w:rsidRDefault="00927C2A">
      <w:pPr>
        <w:spacing w:after="4" w:line="248" w:lineRule="auto"/>
        <w:ind w:left="1500"/>
        <w:jc w:val="left"/>
      </w:pPr>
      <w:r>
        <w:t>Year</w:t>
      </w:r>
      <w:r>
        <w:t xml:space="preserve"> 3 ELA = (MAX 0,(– (Purchase price + Year 1 operating gain/(loss) – Year 1 dividend paid + Year 2 operating gain/(loss) – Year 2 dividend paid + Year 3 operating gain/(loss) – Year 3 dividend paid))) </w:t>
      </w:r>
    </w:p>
    <w:p w:rsidR="00D0456E" w:rsidRDefault="00927C2A">
      <w:pPr>
        <w:spacing w:after="0" w:line="259" w:lineRule="auto"/>
        <w:ind w:left="50" w:firstLine="0"/>
        <w:jc w:val="left"/>
      </w:pPr>
      <w:r>
        <w:t xml:space="preserve"> </w:t>
      </w:r>
    </w:p>
    <w:p w:rsidR="00D0456E" w:rsidRDefault="00927C2A">
      <w:pPr>
        <w:numPr>
          <w:ilvl w:val="0"/>
          <w:numId w:val="15"/>
        </w:numPr>
        <w:spacing w:after="181"/>
        <w:ind w:right="43" w:hanging="720"/>
      </w:pPr>
      <w:r>
        <w:t>(LO 6) The stock basis in a subsidiary is adjusted at the end of every tax year in a manner similar to that of the financial accounting “equity” method. Stock basis cannot go below zero, so an excess loss account is created when negative adjustments exceed</w:t>
      </w:r>
      <w:r>
        <w:t xml:space="preserve"> the beginning-of-year stock basis. </w:t>
      </w:r>
    </w:p>
    <w:p w:rsidR="00D0456E" w:rsidRDefault="00927C2A">
      <w:pPr>
        <w:spacing w:after="0" w:line="259" w:lineRule="auto"/>
        <w:ind w:left="50" w:firstLine="0"/>
        <w:jc w:val="left"/>
      </w:pPr>
      <w:r>
        <w:t xml:space="preserve"> </w:t>
      </w:r>
    </w:p>
    <w:tbl>
      <w:tblPr>
        <w:tblStyle w:val="TableGrid"/>
        <w:tblW w:w="8042" w:type="dxa"/>
        <w:tblInd w:w="796" w:type="dxa"/>
        <w:tblCellMar>
          <w:top w:w="80" w:type="dxa"/>
          <w:left w:w="0" w:type="dxa"/>
          <w:bottom w:w="0" w:type="dxa"/>
          <w:right w:w="115" w:type="dxa"/>
        </w:tblCellMar>
        <w:tblLook w:val="04A0" w:firstRow="1" w:lastRow="0" w:firstColumn="1" w:lastColumn="0" w:noHBand="0" w:noVBand="1"/>
      </w:tblPr>
      <w:tblGrid>
        <w:gridCol w:w="1744"/>
        <w:gridCol w:w="2517"/>
        <w:gridCol w:w="3781"/>
      </w:tblGrid>
      <w:tr w:rsidR="00D0456E">
        <w:trPr>
          <w:trHeight w:val="450"/>
        </w:trPr>
        <w:tc>
          <w:tcPr>
            <w:tcW w:w="1744" w:type="dxa"/>
            <w:tcBorders>
              <w:top w:val="single" w:sz="4" w:space="0" w:color="000000"/>
              <w:left w:val="nil"/>
              <w:bottom w:val="single" w:sz="4" w:space="0" w:color="000000"/>
              <w:right w:val="nil"/>
            </w:tcBorders>
            <w:vAlign w:val="center"/>
          </w:tcPr>
          <w:p w:rsidR="00D0456E" w:rsidRDefault="00927C2A">
            <w:pPr>
              <w:spacing w:after="0" w:line="259" w:lineRule="auto"/>
              <w:ind w:left="292" w:firstLine="0"/>
              <w:jc w:val="left"/>
            </w:pPr>
            <w:r>
              <w:rPr>
                <w:b/>
              </w:rPr>
              <w:t xml:space="preserve">Tax Year </w:t>
            </w:r>
          </w:p>
        </w:tc>
        <w:tc>
          <w:tcPr>
            <w:tcW w:w="2517" w:type="dxa"/>
            <w:tcBorders>
              <w:top w:val="single" w:sz="4" w:space="0" w:color="000000"/>
              <w:left w:val="nil"/>
              <w:bottom w:val="single" w:sz="4" w:space="0" w:color="000000"/>
              <w:right w:val="nil"/>
            </w:tcBorders>
            <w:vAlign w:val="center"/>
          </w:tcPr>
          <w:p w:rsidR="00D0456E" w:rsidRDefault="00927C2A">
            <w:pPr>
              <w:spacing w:after="0" w:line="259" w:lineRule="auto"/>
              <w:ind w:left="0" w:firstLine="0"/>
              <w:jc w:val="left"/>
            </w:pPr>
            <w:r>
              <w:rPr>
                <w:b/>
              </w:rPr>
              <w:t xml:space="preserve">Operating Gain/(Loss) </w:t>
            </w:r>
          </w:p>
        </w:tc>
        <w:tc>
          <w:tcPr>
            <w:tcW w:w="3782" w:type="dxa"/>
            <w:tcBorders>
              <w:top w:val="single" w:sz="4" w:space="0" w:color="000000"/>
              <w:left w:val="nil"/>
              <w:bottom w:val="single" w:sz="4" w:space="0" w:color="000000"/>
              <w:right w:val="nil"/>
            </w:tcBorders>
            <w:vAlign w:val="center"/>
          </w:tcPr>
          <w:p w:rsidR="00D0456E" w:rsidRDefault="00927C2A">
            <w:pPr>
              <w:tabs>
                <w:tab w:val="center" w:pos="1565"/>
              </w:tabs>
              <w:spacing w:after="0" w:line="259" w:lineRule="auto"/>
              <w:ind w:left="0" w:firstLine="0"/>
              <w:jc w:val="left"/>
            </w:pPr>
            <w:r>
              <w:rPr>
                <w:b/>
              </w:rPr>
              <w:t xml:space="preserve"> </w:t>
            </w:r>
            <w:r>
              <w:rPr>
                <w:b/>
              </w:rPr>
              <w:tab/>
              <w:t xml:space="preserve">Stock Basis </w:t>
            </w:r>
          </w:p>
        </w:tc>
      </w:tr>
      <w:tr w:rsidR="00D0456E">
        <w:trPr>
          <w:trHeight w:val="425"/>
        </w:trPr>
        <w:tc>
          <w:tcPr>
            <w:tcW w:w="1744" w:type="dxa"/>
            <w:tcBorders>
              <w:top w:val="single" w:sz="4" w:space="0" w:color="000000"/>
              <w:left w:val="nil"/>
              <w:bottom w:val="nil"/>
              <w:right w:val="nil"/>
            </w:tcBorders>
          </w:tcPr>
          <w:p w:rsidR="00D0456E" w:rsidRDefault="00927C2A">
            <w:pPr>
              <w:spacing w:after="0" w:line="259" w:lineRule="auto"/>
              <w:ind w:left="679" w:firstLine="0"/>
              <w:jc w:val="left"/>
            </w:pPr>
            <w:r>
              <w:t xml:space="preserve">1 </w:t>
            </w:r>
          </w:p>
        </w:tc>
        <w:tc>
          <w:tcPr>
            <w:tcW w:w="2517" w:type="dxa"/>
            <w:tcBorders>
              <w:top w:val="single" w:sz="4" w:space="0" w:color="000000"/>
              <w:left w:val="nil"/>
              <w:bottom w:val="nil"/>
              <w:right w:val="nil"/>
            </w:tcBorders>
          </w:tcPr>
          <w:p w:rsidR="00D0456E" w:rsidRDefault="00927C2A">
            <w:pPr>
              <w:spacing w:after="0" w:line="259" w:lineRule="auto"/>
              <w:ind w:left="648" w:firstLine="0"/>
              <w:jc w:val="left"/>
            </w:pPr>
            <w:r>
              <w:t xml:space="preserve">$100,000  </w:t>
            </w:r>
          </w:p>
        </w:tc>
        <w:tc>
          <w:tcPr>
            <w:tcW w:w="3782" w:type="dxa"/>
            <w:tcBorders>
              <w:top w:val="single" w:sz="4" w:space="0" w:color="000000"/>
              <w:left w:val="nil"/>
              <w:bottom w:val="nil"/>
              <w:right w:val="nil"/>
            </w:tcBorders>
          </w:tcPr>
          <w:p w:rsidR="00D0456E" w:rsidRDefault="00927C2A">
            <w:pPr>
              <w:spacing w:after="0" w:line="259" w:lineRule="auto"/>
              <w:ind w:left="2" w:firstLine="0"/>
              <w:jc w:val="left"/>
            </w:pPr>
            <w:r>
              <w:t xml:space="preserve">$900,000 + $100,000 = $1,000,000 </w:t>
            </w:r>
          </w:p>
        </w:tc>
      </w:tr>
      <w:tr w:rsidR="00D0456E">
        <w:trPr>
          <w:trHeight w:val="361"/>
        </w:trPr>
        <w:tc>
          <w:tcPr>
            <w:tcW w:w="1744" w:type="dxa"/>
            <w:tcBorders>
              <w:top w:val="nil"/>
              <w:left w:val="nil"/>
              <w:bottom w:val="nil"/>
              <w:right w:val="nil"/>
            </w:tcBorders>
          </w:tcPr>
          <w:p w:rsidR="00D0456E" w:rsidRDefault="00927C2A">
            <w:pPr>
              <w:spacing w:after="0" w:line="259" w:lineRule="auto"/>
              <w:ind w:left="679" w:firstLine="0"/>
              <w:jc w:val="left"/>
            </w:pPr>
            <w:r>
              <w:t xml:space="preserve">2 </w:t>
            </w:r>
          </w:p>
        </w:tc>
        <w:tc>
          <w:tcPr>
            <w:tcW w:w="2517" w:type="dxa"/>
            <w:tcBorders>
              <w:top w:val="nil"/>
              <w:left w:val="nil"/>
              <w:bottom w:val="nil"/>
              <w:right w:val="nil"/>
            </w:tcBorders>
          </w:tcPr>
          <w:p w:rsidR="00D0456E" w:rsidRDefault="00927C2A">
            <w:pPr>
              <w:spacing w:after="0" w:line="259" w:lineRule="auto"/>
              <w:ind w:left="575" w:firstLine="0"/>
              <w:jc w:val="left"/>
            </w:pPr>
            <w:r>
              <w:t>($800,000)</w:t>
            </w:r>
          </w:p>
        </w:tc>
        <w:tc>
          <w:tcPr>
            <w:tcW w:w="3782" w:type="dxa"/>
            <w:tcBorders>
              <w:top w:val="nil"/>
              <w:left w:val="nil"/>
              <w:bottom w:val="nil"/>
              <w:right w:val="nil"/>
            </w:tcBorders>
          </w:tcPr>
          <w:p w:rsidR="00D0456E" w:rsidRDefault="00927C2A">
            <w:pPr>
              <w:spacing w:after="0" w:line="259" w:lineRule="auto"/>
              <w:ind w:left="2" w:firstLine="0"/>
              <w:jc w:val="left"/>
            </w:pPr>
            <w:r>
              <w:t>$1,000,000 – $800,000 = $200,000</w:t>
            </w:r>
          </w:p>
        </w:tc>
      </w:tr>
      <w:tr w:rsidR="00D0456E">
        <w:trPr>
          <w:trHeight w:val="645"/>
        </w:trPr>
        <w:tc>
          <w:tcPr>
            <w:tcW w:w="1744" w:type="dxa"/>
            <w:tcBorders>
              <w:top w:val="nil"/>
              <w:left w:val="nil"/>
              <w:bottom w:val="single" w:sz="4" w:space="0" w:color="000000"/>
              <w:right w:val="nil"/>
            </w:tcBorders>
          </w:tcPr>
          <w:p w:rsidR="00D0456E" w:rsidRDefault="00927C2A">
            <w:pPr>
              <w:spacing w:after="0" w:line="259" w:lineRule="auto"/>
              <w:ind w:left="679" w:firstLine="0"/>
              <w:jc w:val="left"/>
            </w:pPr>
            <w:r>
              <w:t xml:space="preserve">3 </w:t>
            </w:r>
          </w:p>
        </w:tc>
        <w:tc>
          <w:tcPr>
            <w:tcW w:w="2517" w:type="dxa"/>
            <w:tcBorders>
              <w:top w:val="nil"/>
              <w:left w:val="nil"/>
              <w:bottom w:val="single" w:sz="4" w:space="0" w:color="000000"/>
              <w:right w:val="nil"/>
            </w:tcBorders>
          </w:tcPr>
          <w:p w:rsidR="00D0456E" w:rsidRDefault="00927C2A">
            <w:pPr>
              <w:spacing w:after="0" w:line="259" w:lineRule="auto"/>
              <w:ind w:left="574" w:firstLine="0"/>
              <w:jc w:val="left"/>
            </w:pPr>
            <w:r>
              <w:t>($600,000)</w:t>
            </w:r>
          </w:p>
        </w:tc>
        <w:tc>
          <w:tcPr>
            <w:tcW w:w="3782" w:type="dxa"/>
            <w:tcBorders>
              <w:top w:val="nil"/>
              <w:left w:val="nil"/>
              <w:bottom w:val="single" w:sz="4" w:space="0" w:color="000000"/>
              <w:right w:val="nil"/>
            </w:tcBorders>
          </w:tcPr>
          <w:p w:rsidR="00D0456E" w:rsidRDefault="00927C2A">
            <w:pPr>
              <w:spacing w:after="0" w:line="259" w:lineRule="auto"/>
              <w:ind w:left="2" w:hanging="2"/>
              <w:jc w:val="left"/>
            </w:pPr>
            <w:r>
              <w:t xml:space="preserve">$0 with a $400,000 excess loss account </w:t>
            </w:r>
            <w:r>
              <w:t xml:space="preserve">($200,000 – $600,000) </w:t>
            </w:r>
          </w:p>
        </w:tc>
      </w:tr>
    </w:tbl>
    <w:p w:rsidR="00D0456E" w:rsidRDefault="00927C2A">
      <w:pPr>
        <w:spacing w:after="0" w:line="259" w:lineRule="auto"/>
        <w:ind w:left="0" w:firstLine="0"/>
        <w:jc w:val="left"/>
      </w:pPr>
      <w:r>
        <w:t xml:space="preserve"> </w:t>
      </w:r>
    </w:p>
    <w:p w:rsidR="00D0456E" w:rsidRDefault="00927C2A">
      <w:pPr>
        <w:numPr>
          <w:ilvl w:val="0"/>
          <w:numId w:val="15"/>
        </w:numPr>
        <w:spacing w:after="167"/>
        <w:ind w:right="43" w:hanging="720"/>
      </w:pPr>
      <w:r>
        <w:t xml:space="preserve">(LO 6) If subsidiary stock is sold while its parent holds an excess loss account, capital gain income is created equal to the extent of the account balance.   </w:t>
      </w:r>
    </w:p>
    <w:p w:rsidR="00D0456E" w:rsidRDefault="00927C2A">
      <w:pPr>
        <w:tabs>
          <w:tab w:val="center" w:pos="3287"/>
          <w:tab w:val="center" w:pos="7921"/>
        </w:tabs>
        <w:ind w:left="0" w:firstLine="0"/>
        <w:jc w:val="left"/>
      </w:pPr>
      <w:r>
        <w:rPr>
          <w:rFonts w:ascii="Calibri" w:eastAsia="Calibri" w:hAnsi="Calibri" w:cs="Calibri"/>
        </w:rPr>
        <w:tab/>
      </w:r>
      <w:r>
        <w:t xml:space="preserve">Amount realized from stock sale </w:t>
      </w:r>
      <w:r>
        <w:tab/>
        <w:t xml:space="preserve">$250,000 </w:t>
      </w:r>
    </w:p>
    <w:p w:rsidR="00D0456E" w:rsidRDefault="00927C2A">
      <w:pPr>
        <w:ind w:left="715" w:right="2380"/>
      </w:pPr>
      <w:r>
        <w:t xml:space="preserve">– WhaleCo basis in MinnowCo stock </w:t>
      </w:r>
      <w:r>
        <w:tab/>
        <w:t xml:space="preserve">(–0–) + Excess loss account </w:t>
      </w:r>
      <w:r>
        <w:tab/>
      </w:r>
      <w:r>
        <w:rPr>
          <w:u w:val="single" w:color="000000"/>
        </w:rPr>
        <w:t xml:space="preserve">  400,000</w:t>
      </w:r>
      <w:r>
        <w:t xml:space="preserve">  </w:t>
      </w:r>
    </w:p>
    <w:p w:rsidR="00D0456E" w:rsidRDefault="00927C2A">
      <w:pPr>
        <w:tabs>
          <w:tab w:val="center" w:pos="2737"/>
          <w:tab w:val="center" w:pos="7937"/>
        </w:tabs>
        <w:spacing w:after="249"/>
        <w:ind w:left="0" w:firstLine="0"/>
        <w:jc w:val="left"/>
      </w:pPr>
      <w:r>
        <w:rPr>
          <w:rFonts w:ascii="Calibri" w:eastAsia="Calibri" w:hAnsi="Calibri" w:cs="Calibri"/>
        </w:rPr>
        <w:tab/>
      </w:r>
      <w:r>
        <w:t xml:space="preserve">Capital gain income </w:t>
      </w:r>
      <w:r>
        <w:tab/>
      </w:r>
      <w:r>
        <w:rPr>
          <w:u w:val="double" w:color="000000"/>
        </w:rPr>
        <w:t>$650,000</w:t>
      </w:r>
      <w:r>
        <w:t xml:space="preserve">  </w:t>
      </w:r>
    </w:p>
    <w:p w:rsidR="00D0456E" w:rsidRDefault="00927C2A">
      <w:pPr>
        <w:numPr>
          <w:ilvl w:val="0"/>
          <w:numId w:val="15"/>
        </w:numPr>
        <w:spacing w:after="128"/>
        <w:ind w:right="43" w:hanging="720"/>
      </w:pPr>
      <w:r>
        <w:t xml:space="preserve">(LO 7) Consolidated taxable income equals the following amounts. </w:t>
      </w:r>
    </w:p>
    <w:p w:rsidR="00D0456E" w:rsidRDefault="00927C2A">
      <w:pPr>
        <w:spacing w:after="94" w:line="364" w:lineRule="auto"/>
        <w:ind w:left="715" w:right="6847"/>
      </w:pPr>
      <w:r>
        <w:rPr>
          <w:b/>
        </w:rPr>
        <w:t>Year 1</w:t>
      </w:r>
      <w:r>
        <w:t xml:space="preserve"> $180,000 </w:t>
      </w:r>
      <w:r>
        <w:rPr>
          <w:b/>
        </w:rPr>
        <w:t>Year 2</w:t>
      </w:r>
      <w:r>
        <w:t xml:space="preserve">   220,000 </w:t>
      </w:r>
      <w:r>
        <w:rPr>
          <w:b/>
        </w:rPr>
        <w:t>Year 3</w:t>
      </w:r>
      <w:r>
        <w:t xml:space="preserve">     10,000 </w:t>
      </w:r>
      <w:r>
        <w:rPr>
          <w:b/>
        </w:rPr>
        <w:t>Year 4</w:t>
      </w:r>
      <w:r>
        <w:t xml:space="preserve">   335,000 </w:t>
      </w:r>
    </w:p>
    <w:p w:rsidR="00D0456E" w:rsidRDefault="00927C2A">
      <w:pPr>
        <w:spacing w:after="221"/>
        <w:ind w:left="715" w:right="43"/>
      </w:pPr>
      <w:r>
        <w:t>The Orange losses offset the Blue income dollar for dollar, but they never become large enough  to produce a consolidated taxable loss. Because both corporations produce ordinary income, there  are no adjustments to make using the format of text Exhibit 8.</w:t>
      </w:r>
      <w:r>
        <w:t xml:space="preserve">3. There are no consolidated NOL carryforwards in any of the specified years. </w:t>
      </w:r>
    </w:p>
    <w:p w:rsidR="00D0456E" w:rsidRDefault="00927C2A">
      <w:pPr>
        <w:numPr>
          <w:ilvl w:val="0"/>
          <w:numId w:val="15"/>
        </w:numPr>
        <w:spacing w:after="165"/>
        <w:ind w:right="43" w:hanging="720"/>
      </w:pPr>
      <w:r>
        <w:t xml:space="preserve">(LO 7, 8) Consolidated taxable income equals the following amounts. [It is assumed that the group does not elect to forgo the carryback of the year 3 consolidated net operating </w:t>
      </w:r>
      <w:r>
        <w:t xml:space="preserve">loss.] </w:t>
      </w:r>
    </w:p>
    <w:p w:rsidR="00D0456E" w:rsidRDefault="00927C2A">
      <w:pPr>
        <w:tabs>
          <w:tab w:val="center" w:pos="2165"/>
          <w:tab w:val="center" w:pos="3703"/>
        </w:tabs>
        <w:spacing w:after="125"/>
        <w:ind w:left="0" w:firstLine="0"/>
        <w:jc w:val="left"/>
      </w:pPr>
      <w:r>
        <w:rPr>
          <w:rFonts w:ascii="Calibri" w:eastAsia="Calibri" w:hAnsi="Calibri" w:cs="Calibri"/>
        </w:rPr>
        <w:tab/>
      </w:r>
      <w:r>
        <w:rPr>
          <w:b/>
        </w:rPr>
        <w:t xml:space="preserve">Year 1 </w:t>
      </w:r>
      <w:r>
        <w:rPr>
          <w:b/>
        </w:rPr>
        <w:tab/>
      </w:r>
      <w:r>
        <w:t>$520,000</w:t>
      </w:r>
      <w:r>
        <w:rPr>
          <w:b/>
        </w:rPr>
        <w:t xml:space="preserve"> </w:t>
      </w:r>
    </w:p>
    <w:p w:rsidR="00D0456E" w:rsidRDefault="00927C2A">
      <w:pPr>
        <w:tabs>
          <w:tab w:val="center" w:pos="2165"/>
          <w:tab w:val="center" w:pos="3703"/>
        </w:tabs>
        <w:spacing w:after="142"/>
        <w:ind w:left="0" w:firstLine="0"/>
        <w:jc w:val="left"/>
      </w:pPr>
      <w:r>
        <w:rPr>
          <w:rFonts w:ascii="Calibri" w:eastAsia="Calibri" w:hAnsi="Calibri" w:cs="Calibri"/>
        </w:rPr>
        <w:tab/>
      </w:r>
      <w:r>
        <w:rPr>
          <w:b/>
        </w:rPr>
        <w:t xml:space="preserve">Year 2 </w:t>
      </w:r>
      <w:r>
        <w:rPr>
          <w:b/>
        </w:rPr>
        <w:tab/>
      </w:r>
      <w:r>
        <w:t xml:space="preserve">  140,000</w:t>
      </w:r>
      <w:r>
        <w:rPr>
          <w:b/>
        </w:rPr>
        <w:t xml:space="preserve"> </w:t>
      </w:r>
    </w:p>
    <w:p w:rsidR="00D0456E" w:rsidRDefault="00927C2A">
      <w:pPr>
        <w:spacing w:after="115"/>
        <w:ind w:left="3124" w:right="43" w:hanging="2419"/>
      </w:pPr>
      <w:r>
        <w:rPr>
          <w:b/>
        </w:rPr>
        <w:t xml:space="preserve">Year 3  </w:t>
      </w:r>
      <w:r>
        <w:t xml:space="preserve">            0 ($150,000) NOL carryback. This generates a partial refund of the year 1 group tax liability. The year 3 NOL is fully used.</w:t>
      </w:r>
      <w:r>
        <w:rPr>
          <w:b/>
        </w:rPr>
        <w:t xml:space="preserve"> </w:t>
      </w:r>
    </w:p>
    <w:p w:rsidR="00D0456E" w:rsidRDefault="00927C2A">
      <w:pPr>
        <w:tabs>
          <w:tab w:val="center" w:pos="2165"/>
          <w:tab w:val="center" w:pos="3703"/>
        </w:tabs>
        <w:spacing w:after="222"/>
        <w:ind w:left="0" w:firstLine="0"/>
        <w:jc w:val="left"/>
      </w:pPr>
      <w:r>
        <w:rPr>
          <w:rFonts w:ascii="Calibri" w:eastAsia="Calibri" w:hAnsi="Calibri" w:cs="Calibri"/>
        </w:rPr>
        <w:tab/>
      </w:r>
      <w:r>
        <w:rPr>
          <w:b/>
        </w:rPr>
        <w:t xml:space="preserve">Year 4 </w:t>
      </w:r>
      <w:r>
        <w:rPr>
          <w:b/>
        </w:rPr>
        <w:tab/>
        <w:t xml:space="preserve">  </w:t>
      </w:r>
      <w:r>
        <w:t>525,000</w:t>
      </w:r>
      <w:r>
        <w:rPr>
          <w:b/>
        </w:rPr>
        <w:t xml:space="preserve"> </w:t>
      </w:r>
    </w:p>
    <w:p w:rsidR="00D0456E" w:rsidRDefault="00927C2A">
      <w:pPr>
        <w:numPr>
          <w:ilvl w:val="0"/>
          <w:numId w:val="15"/>
        </w:numPr>
        <w:spacing w:after="248"/>
        <w:ind w:right="43" w:hanging="720"/>
      </w:pPr>
      <w:r>
        <w:t>(LO 8) In years when a group member files a</w:t>
      </w:r>
      <w:r>
        <w:t xml:space="preserve"> separate return (e.g., due to a de-consolidation of the member from the group), each member can carry over only its apportioned segment of the group NOL. Thus, Ocelot can use its $1.5 million share of the group NOL carryforward on its separate return.  </w:t>
      </w:r>
    </w:p>
    <w:p w:rsidR="00D0456E" w:rsidRDefault="00927C2A">
      <w:pPr>
        <w:numPr>
          <w:ilvl w:val="0"/>
          <w:numId w:val="15"/>
        </w:numPr>
        <w:spacing w:after="222"/>
        <w:ind w:right="43" w:hanging="720"/>
      </w:pPr>
      <w:r>
        <w:t>(</w:t>
      </w:r>
      <w:r>
        <w:t xml:space="preserve">LO 8) The NOL deduction is limited to $500,000, the annual § 382 amount. </w:t>
      </w:r>
    </w:p>
    <w:p w:rsidR="00D0456E" w:rsidRDefault="00927C2A">
      <w:pPr>
        <w:numPr>
          <w:ilvl w:val="0"/>
          <w:numId w:val="15"/>
        </w:numPr>
        <w:spacing w:after="128"/>
        <w:ind w:right="43" w:hanging="720"/>
      </w:pPr>
      <w:r>
        <w:t>(LO 8) Under the SRLY rules, the group cannot carry back the losses that Child brings into the group. Subsequent deductions are limited to the cumulative positive contributions towar</w:t>
      </w:r>
      <w:r>
        <w:t xml:space="preserve">d group taxable income that are traceable to Child. Child’s NOL can be deducted by the Thrust group as follows. </w:t>
      </w:r>
    </w:p>
    <w:p w:rsidR="00D0456E" w:rsidRDefault="00927C2A">
      <w:pPr>
        <w:spacing w:line="328" w:lineRule="auto"/>
        <w:ind w:left="715" w:right="6108"/>
      </w:pPr>
      <w:r>
        <w:rPr>
          <w:b/>
        </w:rPr>
        <w:t>Year 1</w:t>
      </w:r>
      <w:r>
        <w:t xml:space="preserve"> $               0 </w:t>
      </w:r>
      <w:r>
        <w:rPr>
          <w:b/>
        </w:rPr>
        <w:t>Year 2</w:t>
      </w:r>
      <w:r>
        <w:t xml:space="preserve">     1,500,000 </w:t>
      </w:r>
    </w:p>
    <w:p w:rsidR="00D0456E" w:rsidRDefault="00927C2A">
      <w:pPr>
        <w:tabs>
          <w:tab w:val="center" w:pos="2165"/>
          <w:tab w:val="center" w:pos="2840"/>
          <w:tab w:val="center" w:pos="3813"/>
          <w:tab w:val="center" w:pos="5243"/>
        </w:tabs>
        <w:ind w:left="0" w:firstLine="0"/>
        <w:jc w:val="left"/>
      </w:pPr>
      <w:r>
        <w:rPr>
          <w:rFonts w:ascii="Calibri" w:eastAsia="Calibri" w:hAnsi="Calibri" w:cs="Calibri"/>
        </w:rPr>
        <w:tab/>
      </w:r>
      <w:r>
        <w:rPr>
          <w:b/>
        </w:rPr>
        <w:t>Year 3</w:t>
      </w:r>
      <w:r>
        <w:t xml:space="preserve">  </w:t>
      </w:r>
      <w:r>
        <w:tab/>
        <w:t xml:space="preserve"> </w:t>
      </w:r>
      <w:r>
        <w:tab/>
        <w:t xml:space="preserve">      500,000 </w:t>
      </w:r>
      <w:r>
        <w:tab/>
        <w:t xml:space="preserve">(exhausted) </w:t>
      </w:r>
    </w:p>
    <w:p w:rsidR="00D0456E" w:rsidRDefault="00927C2A">
      <w:pPr>
        <w:numPr>
          <w:ilvl w:val="0"/>
          <w:numId w:val="15"/>
        </w:numPr>
        <w:ind w:right="43" w:hanging="720"/>
      </w:pPr>
      <w:r>
        <w:t xml:space="preserve">(LO 9) </w:t>
      </w:r>
    </w:p>
    <w:tbl>
      <w:tblPr>
        <w:tblStyle w:val="TableGrid"/>
        <w:tblpPr w:vertAnchor="text" w:tblpX="1548" w:tblpY="907"/>
        <w:tblOverlap w:val="never"/>
        <w:tblW w:w="8246" w:type="dxa"/>
        <w:tblInd w:w="0" w:type="dxa"/>
        <w:tblCellMar>
          <w:top w:w="0" w:type="dxa"/>
          <w:left w:w="0" w:type="dxa"/>
          <w:bottom w:w="0" w:type="dxa"/>
          <w:right w:w="0" w:type="dxa"/>
        </w:tblCellMar>
        <w:tblLook w:val="04A0" w:firstRow="1" w:lastRow="0" w:firstColumn="1" w:lastColumn="0" w:noHBand="0" w:noVBand="1"/>
      </w:tblPr>
      <w:tblGrid>
        <w:gridCol w:w="3754"/>
        <w:gridCol w:w="227"/>
        <w:gridCol w:w="2863"/>
        <w:gridCol w:w="236"/>
        <w:gridCol w:w="1166"/>
      </w:tblGrid>
      <w:tr w:rsidR="00D0456E">
        <w:trPr>
          <w:trHeight w:val="722"/>
        </w:trPr>
        <w:tc>
          <w:tcPr>
            <w:tcW w:w="3754" w:type="dxa"/>
            <w:tcBorders>
              <w:top w:val="nil"/>
              <w:left w:val="nil"/>
              <w:bottom w:val="nil"/>
              <w:right w:val="nil"/>
            </w:tcBorders>
          </w:tcPr>
          <w:p w:rsidR="00D0456E" w:rsidRDefault="00927C2A">
            <w:pPr>
              <w:tabs>
                <w:tab w:val="center" w:pos="3060"/>
              </w:tabs>
              <w:spacing w:after="0" w:line="259" w:lineRule="auto"/>
              <w:ind w:left="0" w:firstLine="0"/>
              <w:jc w:val="left"/>
            </w:pPr>
            <w:r>
              <w:t xml:space="preserve"> </w:t>
            </w:r>
            <w:r>
              <w:tab/>
            </w:r>
            <w:r>
              <w:rPr>
                <w:b/>
              </w:rPr>
              <w:t>Separate</w:t>
            </w:r>
          </w:p>
          <w:p w:rsidR="00D0456E" w:rsidRDefault="00927C2A">
            <w:pPr>
              <w:spacing w:after="0" w:line="259" w:lineRule="auto"/>
              <w:ind w:left="0" w:right="315" w:firstLine="0"/>
              <w:jc w:val="right"/>
            </w:pPr>
            <w:r>
              <w:rPr>
                <w:b/>
              </w:rPr>
              <w:t xml:space="preserve">Taxable </w:t>
            </w:r>
          </w:p>
          <w:p w:rsidR="00D0456E" w:rsidRDefault="00927C2A">
            <w:pPr>
              <w:spacing w:after="0" w:line="259" w:lineRule="auto"/>
              <w:ind w:left="0" w:right="347" w:firstLine="0"/>
              <w:jc w:val="right"/>
            </w:pPr>
            <w:r>
              <w:rPr>
                <w:b/>
              </w:rPr>
              <w:t>Income</w:t>
            </w:r>
            <w:r>
              <w:t xml:space="preserve"> </w:t>
            </w:r>
          </w:p>
        </w:tc>
        <w:tc>
          <w:tcPr>
            <w:tcW w:w="227" w:type="dxa"/>
            <w:tcBorders>
              <w:top w:val="nil"/>
              <w:left w:val="nil"/>
              <w:bottom w:val="nil"/>
              <w:right w:val="nil"/>
            </w:tcBorders>
            <w:vAlign w:val="bottom"/>
          </w:tcPr>
          <w:p w:rsidR="00D0456E" w:rsidRDefault="00927C2A">
            <w:pPr>
              <w:spacing w:after="0" w:line="259" w:lineRule="auto"/>
              <w:ind w:left="0" w:firstLine="0"/>
              <w:jc w:val="left"/>
            </w:pPr>
            <w:r>
              <w:rPr>
                <w:b/>
              </w:rPr>
              <w:t xml:space="preserve"> </w:t>
            </w:r>
          </w:p>
        </w:tc>
        <w:tc>
          <w:tcPr>
            <w:tcW w:w="2863" w:type="dxa"/>
            <w:tcBorders>
              <w:top w:val="nil"/>
              <w:left w:val="nil"/>
              <w:bottom w:val="nil"/>
              <w:right w:val="nil"/>
            </w:tcBorders>
            <w:vAlign w:val="bottom"/>
          </w:tcPr>
          <w:p w:rsidR="00D0456E" w:rsidRDefault="00927C2A">
            <w:pPr>
              <w:spacing w:after="0" w:line="259" w:lineRule="auto"/>
              <w:ind w:left="0" w:right="217" w:firstLine="0"/>
              <w:jc w:val="center"/>
            </w:pPr>
            <w:r>
              <w:rPr>
                <w:b/>
              </w:rPr>
              <w:t>Adjustments</w:t>
            </w:r>
            <w:r>
              <w:t xml:space="preserve"> </w:t>
            </w:r>
          </w:p>
        </w:tc>
        <w:tc>
          <w:tcPr>
            <w:tcW w:w="236" w:type="dxa"/>
            <w:tcBorders>
              <w:top w:val="nil"/>
              <w:left w:val="nil"/>
              <w:bottom w:val="nil"/>
              <w:right w:val="nil"/>
            </w:tcBorders>
            <w:vAlign w:val="bottom"/>
          </w:tcPr>
          <w:p w:rsidR="00D0456E" w:rsidRDefault="00927C2A">
            <w:pPr>
              <w:spacing w:after="0" w:line="259" w:lineRule="auto"/>
              <w:ind w:left="10" w:firstLine="0"/>
              <w:jc w:val="left"/>
            </w:pPr>
            <w:r>
              <w:t xml:space="preserve"> </w:t>
            </w:r>
          </w:p>
        </w:tc>
        <w:tc>
          <w:tcPr>
            <w:tcW w:w="1166" w:type="dxa"/>
            <w:tcBorders>
              <w:top w:val="nil"/>
              <w:left w:val="nil"/>
              <w:bottom w:val="nil"/>
              <w:right w:val="nil"/>
            </w:tcBorders>
          </w:tcPr>
          <w:p w:rsidR="00D0456E" w:rsidRDefault="00927C2A">
            <w:pPr>
              <w:spacing w:after="0" w:line="259" w:lineRule="auto"/>
              <w:ind w:left="0" w:right="53" w:firstLine="0"/>
              <w:jc w:val="center"/>
            </w:pPr>
            <w:r>
              <w:rPr>
                <w:b/>
              </w:rPr>
              <w:t>Post-</w:t>
            </w:r>
          </w:p>
          <w:p w:rsidR="00D0456E" w:rsidRDefault="00927C2A">
            <w:pPr>
              <w:spacing w:after="0" w:line="259" w:lineRule="auto"/>
              <w:ind w:left="128" w:hanging="128"/>
              <w:jc w:val="left"/>
            </w:pPr>
            <w:r>
              <w:rPr>
                <w:b/>
              </w:rPr>
              <w:t>Adjustment Amounts</w:t>
            </w:r>
            <w:r>
              <w:t xml:space="preserve"> </w:t>
            </w:r>
          </w:p>
        </w:tc>
      </w:tr>
    </w:tbl>
    <w:p w:rsidR="00D0456E" w:rsidRDefault="00927C2A">
      <w:pPr>
        <w:numPr>
          <w:ilvl w:val="1"/>
          <w:numId w:val="16"/>
        </w:numPr>
        <w:spacing w:after="201"/>
        <w:ind w:right="43" w:hanging="720"/>
      </w:pPr>
      <w:r>
        <w:rPr>
          <w:rFonts w:ascii="Calibri" w:eastAsia="Calibri" w:hAnsi="Calibri" w:cs="Calibri"/>
          <w:noProof/>
        </w:rPr>
        <mc:AlternateContent>
          <mc:Choice Requires="wpg">
            <w:drawing>
              <wp:anchor distT="0" distB="0" distL="114300" distR="114300" simplePos="0" relativeHeight="251659264" behindDoc="0" locked="0" layoutInCell="1" allowOverlap="1">
                <wp:simplePos x="0" y="0"/>
                <wp:positionH relativeFrom="column">
                  <wp:posOffset>914400</wp:posOffset>
                </wp:positionH>
                <wp:positionV relativeFrom="paragraph">
                  <wp:posOffset>571412</wp:posOffset>
                </wp:positionV>
                <wp:extent cx="5340096" cy="6096"/>
                <wp:effectExtent l="0" t="0" r="0" b="0"/>
                <wp:wrapSquare wrapText="bothSides"/>
                <wp:docPr id="41126" name="Group 41126"/>
                <wp:cNvGraphicFramePr/>
                <a:graphic xmlns:a="http://schemas.openxmlformats.org/drawingml/2006/main">
                  <a:graphicData uri="http://schemas.microsoft.com/office/word/2010/wordprocessingGroup">
                    <wpg:wgp>
                      <wpg:cNvGrpSpPr/>
                      <wpg:grpSpPr>
                        <a:xfrm>
                          <a:off x="0" y="0"/>
                          <a:ext cx="5340096" cy="6096"/>
                          <a:chOff x="0" y="0"/>
                          <a:chExt cx="5340096" cy="6096"/>
                        </a:xfrm>
                      </wpg:grpSpPr>
                      <wps:wsp>
                        <wps:cNvPr id="46407" name="Shape 46407"/>
                        <wps:cNvSpPr/>
                        <wps:spPr>
                          <a:xfrm>
                            <a:off x="0" y="0"/>
                            <a:ext cx="5340096" cy="9144"/>
                          </a:xfrm>
                          <a:custGeom>
                            <a:avLst/>
                            <a:gdLst/>
                            <a:ahLst/>
                            <a:cxnLst/>
                            <a:rect l="0" t="0" r="0" b="0"/>
                            <a:pathLst>
                              <a:path w="5340096" h="9144">
                                <a:moveTo>
                                  <a:pt x="0" y="0"/>
                                </a:moveTo>
                                <a:lnTo>
                                  <a:pt x="5340096" y="0"/>
                                </a:lnTo>
                                <a:lnTo>
                                  <a:pt x="53400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1126" style="width:420.48pt;height:0.47998pt;position:absolute;mso-position-horizontal-relative:text;mso-position-horizontal:absolute;margin-left:72pt;mso-position-vertical-relative:text;margin-top:44.9931pt;" coordsize="53400,60">
                <v:shape id="Shape 46408" style="position:absolute;width:53400;height:91;left:0;top:0;" coordsize="5340096,9144" path="m0,0l5340096,0l5340096,9144l0,9144l0,0">
                  <v:stroke weight="0pt" endcap="flat" joinstyle="miter" miterlimit="10" on="false" color="#000000" opacity="0"/>
                  <v:fill on="true" color="#000000"/>
                </v:shape>
                <w10:wrap type="square"/>
              </v:group>
            </w:pict>
          </mc:Fallback>
        </mc:AlternateContent>
      </w:r>
      <w:r>
        <w:t xml:space="preserve">This intercompany transaction is subject to the matching rule. Realized gain is deferred, through an elimination in the computation of consolidated taxable income. B.I.G.’s $60,000 gain is recognized when SubCo later sells the land to Outsider. </w:t>
      </w:r>
    </w:p>
    <w:p w:rsidR="00D0456E" w:rsidRDefault="00927C2A">
      <w:pPr>
        <w:spacing w:before="81" w:after="101" w:line="259" w:lineRule="auto"/>
        <w:ind w:left="1440" w:right="-73" w:firstLine="0"/>
        <w:jc w:val="left"/>
      </w:pPr>
      <w:r>
        <w:rPr>
          <w:rFonts w:ascii="Calibri" w:eastAsia="Calibri" w:hAnsi="Calibri" w:cs="Calibri"/>
          <w:noProof/>
        </w:rPr>
        <mc:AlternateContent>
          <mc:Choice Requires="wpg">
            <w:drawing>
              <wp:inline distT="0" distB="0" distL="0" distR="0">
                <wp:extent cx="5340096" cy="6096"/>
                <wp:effectExtent l="0" t="0" r="0" b="0"/>
                <wp:docPr id="41127" name="Group 41127"/>
                <wp:cNvGraphicFramePr/>
                <a:graphic xmlns:a="http://schemas.openxmlformats.org/drawingml/2006/main">
                  <a:graphicData uri="http://schemas.microsoft.com/office/word/2010/wordprocessingGroup">
                    <wpg:wgp>
                      <wpg:cNvGrpSpPr/>
                      <wpg:grpSpPr>
                        <a:xfrm>
                          <a:off x="0" y="0"/>
                          <a:ext cx="5340096" cy="6096"/>
                          <a:chOff x="0" y="0"/>
                          <a:chExt cx="5340096" cy="6096"/>
                        </a:xfrm>
                      </wpg:grpSpPr>
                      <wps:wsp>
                        <wps:cNvPr id="46409" name="Shape 46409"/>
                        <wps:cNvSpPr/>
                        <wps:spPr>
                          <a:xfrm>
                            <a:off x="0" y="0"/>
                            <a:ext cx="5340096" cy="9144"/>
                          </a:xfrm>
                          <a:custGeom>
                            <a:avLst/>
                            <a:gdLst/>
                            <a:ahLst/>
                            <a:cxnLst/>
                            <a:rect l="0" t="0" r="0" b="0"/>
                            <a:pathLst>
                              <a:path w="5340096" h="9144">
                                <a:moveTo>
                                  <a:pt x="0" y="0"/>
                                </a:moveTo>
                                <a:lnTo>
                                  <a:pt x="5340096" y="0"/>
                                </a:lnTo>
                                <a:lnTo>
                                  <a:pt x="53400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1127" style="width:420.48pt;height:0.47998pt;mso-position-horizontal-relative:char;mso-position-vertical-relative:line" coordsize="53400,60">
                <v:shape id="Shape 46410" style="position:absolute;width:53400;height:91;left:0;top:0;" coordsize="5340096,9144" path="m0,0l5340096,0l5340096,9144l0,9144l0,0">
                  <v:stroke weight="0pt" endcap="flat" joinstyle="miter" miterlimit="10" on="false" color="#000000" opacity="0"/>
                  <v:fill on="true" color="#000000"/>
                </v:shape>
              </v:group>
            </w:pict>
          </mc:Fallback>
        </mc:AlternateContent>
      </w:r>
    </w:p>
    <w:tbl>
      <w:tblPr>
        <w:tblStyle w:val="TableGrid"/>
        <w:tblW w:w="8195" w:type="dxa"/>
        <w:tblInd w:w="1548" w:type="dxa"/>
        <w:tblCellMar>
          <w:top w:w="0" w:type="dxa"/>
          <w:left w:w="0" w:type="dxa"/>
          <w:bottom w:w="0" w:type="dxa"/>
          <w:right w:w="0" w:type="dxa"/>
        </w:tblCellMar>
        <w:tblLook w:val="04A0" w:firstRow="1" w:lastRow="0" w:firstColumn="1" w:lastColumn="0" w:noHBand="0" w:noVBand="1"/>
      </w:tblPr>
      <w:tblGrid>
        <w:gridCol w:w="2635"/>
        <w:gridCol w:w="1346"/>
        <w:gridCol w:w="2863"/>
        <w:gridCol w:w="236"/>
        <w:gridCol w:w="1115"/>
      </w:tblGrid>
      <w:tr w:rsidR="00D0456E">
        <w:trPr>
          <w:trHeight w:val="220"/>
        </w:trPr>
        <w:tc>
          <w:tcPr>
            <w:tcW w:w="2635" w:type="dxa"/>
            <w:tcBorders>
              <w:top w:val="nil"/>
              <w:left w:val="nil"/>
              <w:bottom w:val="nil"/>
              <w:right w:val="nil"/>
            </w:tcBorders>
          </w:tcPr>
          <w:p w:rsidR="00D0456E" w:rsidRDefault="00927C2A">
            <w:pPr>
              <w:spacing w:after="0" w:line="259" w:lineRule="auto"/>
              <w:ind w:left="0" w:firstLine="0"/>
              <w:jc w:val="left"/>
            </w:pPr>
            <w:r>
              <w:t>B.I.G. i</w:t>
            </w:r>
            <w:r>
              <w:t xml:space="preserve">nformation </w:t>
            </w:r>
          </w:p>
        </w:tc>
        <w:tc>
          <w:tcPr>
            <w:tcW w:w="1346" w:type="dxa"/>
            <w:tcBorders>
              <w:top w:val="nil"/>
              <w:left w:val="nil"/>
              <w:bottom w:val="nil"/>
              <w:right w:val="nil"/>
            </w:tcBorders>
          </w:tcPr>
          <w:p w:rsidR="00D0456E" w:rsidRDefault="00927C2A">
            <w:pPr>
              <w:spacing w:after="0" w:line="259" w:lineRule="auto"/>
              <w:ind w:left="0" w:firstLine="0"/>
              <w:jc w:val="left"/>
            </w:pPr>
            <w:r>
              <w:t>$190,000</w:t>
            </w:r>
          </w:p>
        </w:tc>
        <w:tc>
          <w:tcPr>
            <w:tcW w:w="2863" w:type="dxa"/>
            <w:tcBorders>
              <w:top w:val="nil"/>
              <w:left w:val="nil"/>
              <w:bottom w:val="nil"/>
              <w:right w:val="nil"/>
            </w:tcBorders>
          </w:tcPr>
          <w:p w:rsidR="00D0456E" w:rsidRDefault="00D0456E">
            <w:pPr>
              <w:spacing w:after="160" w:line="259" w:lineRule="auto"/>
              <w:ind w:left="0" w:firstLine="0"/>
              <w:jc w:val="left"/>
            </w:pPr>
          </w:p>
        </w:tc>
        <w:tc>
          <w:tcPr>
            <w:tcW w:w="236" w:type="dxa"/>
            <w:tcBorders>
              <w:top w:val="nil"/>
              <w:left w:val="nil"/>
              <w:bottom w:val="nil"/>
              <w:right w:val="nil"/>
            </w:tcBorders>
          </w:tcPr>
          <w:p w:rsidR="00D0456E" w:rsidRDefault="00927C2A">
            <w:pPr>
              <w:spacing w:after="0" w:line="259" w:lineRule="auto"/>
              <w:ind w:left="2" w:firstLine="0"/>
              <w:jc w:val="left"/>
            </w:pPr>
            <w:r>
              <w:t xml:space="preserve"> </w:t>
            </w:r>
          </w:p>
        </w:tc>
        <w:tc>
          <w:tcPr>
            <w:tcW w:w="1115" w:type="dxa"/>
            <w:tcBorders>
              <w:top w:val="nil"/>
              <w:left w:val="nil"/>
              <w:bottom w:val="nil"/>
              <w:right w:val="nil"/>
            </w:tcBorders>
          </w:tcPr>
          <w:p w:rsidR="00D0456E" w:rsidRDefault="00927C2A">
            <w:pPr>
              <w:spacing w:after="0" w:line="259" w:lineRule="auto"/>
              <w:ind w:left="0" w:right="72" w:firstLine="0"/>
              <w:jc w:val="right"/>
            </w:pPr>
            <w:r>
              <w:t>$190,000</w:t>
            </w:r>
          </w:p>
        </w:tc>
      </w:tr>
      <w:tr w:rsidR="00D0456E">
        <w:trPr>
          <w:trHeight w:val="240"/>
        </w:trPr>
        <w:tc>
          <w:tcPr>
            <w:tcW w:w="2635" w:type="dxa"/>
            <w:tcBorders>
              <w:top w:val="nil"/>
              <w:left w:val="nil"/>
              <w:bottom w:val="nil"/>
              <w:right w:val="nil"/>
            </w:tcBorders>
          </w:tcPr>
          <w:p w:rsidR="00D0456E" w:rsidRDefault="00927C2A">
            <w:pPr>
              <w:spacing w:after="0" w:line="259" w:lineRule="auto"/>
              <w:ind w:left="0" w:firstLine="0"/>
              <w:jc w:val="left"/>
            </w:pPr>
            <w:r>
              <w:t xml:space="preserve">SubCo information </w:t>
            </w:r>
          </w:p>
        </w:tc>
        <w:tc>
          <w:tcPr>
            <w:tcW w:w="1346" w:type="dxa"/>
            <w:tcBorders>
              <w:top w:val="nil"/>
              <w:left w:val="nil"/>
              <w:bottom w:val="nil"/>
              <w:right w:val="nil"/>
            </w:tcBorders>
          </w:tcPr>
          <w:p w:rsidR="00D0456E" w:rsidRDefault="00927C2A">
            <w:pPr>
              <w:spacing w:after="0" w:line="259" w:lineRule="auto"/>
              <w:ind w:left="144" w:firstLine="0"/>
              <w:jc w:val="left"/>
            </w:pPr>
            <w:r>
              <w:t>(20,000)</w:t>
            </w:r>
          </w:p>
        </w:tc>
        <w:tc>
          <w:tcPr>
            <w:tcW w:w="2863" w:type="dxa"/>
            <w:tcBorders>
              <w:top w:val="nil"/>
              <w:left w:val="nil"/>
              <w:bottom w:val="nil"/>
              <w:right w:val="nil"/>
            </w:tcBorders>
          </w:tcPr>
          <w:p w:rsidR="00D0456E" w:rsidRDefault="00D0456E">
            <w:pPr>
              <w:spacing w:after="160" w:line="259" w:lineRule="auto"/>
              <w:ind w:left="0" w:firstLine="0"/>
              <w:jc w:val="left"/>
            </w:pPr>
          </w:p>
        </w:tc>
        <w:tc>
          <w:tcPr>
            <w:tcW w:w="236" w:type="dxa"/>
            <w:tcBorders>
              <w:top w:val="nil"/>
              <w:left w:val="nil"/>
              <w:bottom w:val="nil"/>
              <w:right w:val="nil"/>
            </w:tcBorders>
          </w:tcPr>
          <w:p w:rsidR="00D0456E" w:rsidRDefault="00927C2A">
            <w:pPr>
              <w:spacing w:after="0" w:line="259" w:lineRule="auto"/>
              <w:ind w:left="1" w:firstLine="0"/>
              <w:jc w:val="left"/>
            </w:pPr>
            <w:r>
              <w:t xml:space="preserve"> </w:t>
            </w:r>
          </w:p>
        </w:tc>
        <w:tc>
          <w:tcPr>
            <w:tcW w:w="1115" w:type="dxa"/>
            <w:tcBorders>
              <w:top w:val="nil"/>
              <w:left w:val="nil"/>
              <w:bottom w:val="nil"/>
              <w:right w:val="nil"/>
            </w:tcBorders>
          </w:tcPr>
          <w:p w:rsidR="00D0456E" w:rsidRDefault="00927C2A">
            <w:pPr>
              <w:spacing w:after="0" w:line="259" w:lineRule="auto"/>
              <w:ind w:left="0" w:firstLine="0"/>
              <w:jc w:val="right"/>
            </w:pPr>
            <w:r>
              <w:t>(20,000)</w:t>
            </w:r>
          </w:p>
        </w:tc>
      </w:tr>
      <w:tr w:rsidR="00D0456E">
        <w:trPr>
          <w:trHeight w:val="480"/>
        </w:trPr>
        <w:tc>
          <w:tcPr>
            <w:tcW w:w="2635" w:type="dxa"/>
            <w:tcBorders>
              <w:top w:val="nil"/>
              <w:left w:val="nil"/>
              <w:bottom w:val="nil"/>
              <w:right w:val="nil"/>
            </w:tcBorders>
          </w:tcPr>
          <w:p w:rsidR="00D0456E" w:rsidRDefault="00927C2A">
            <w:pPr>
              <w:spacing w:after="0" w:line="259" w:lineRule="auto"/>
              <w:ind w:left="0" w:firstLine="0"/>
              <w:jc w:val="left"/>
            </w:pPr>
            <w:r>
              <w:t xml:space="preserve">Group-basis transactions      intercompany events </w:t>
            </w:r>
          </w:p>
        </w:tc>
        <w:tc>
          <w:tcPr>
            <w:tcW w:w="1346" w:type="dxa"/>
            <w:tcBorders>
              <w:top w:val="nil"/>
              <w:left w:val="nil"/>
              <w:bottom w:val="nil"/>
              <w:right w:val="nil"/>
            </w:tcBorders>
          </w:tcPr>
          <w:p w:rsidR="00D0456E" w:rsidRDefault="00D0456E">
            <w:pPr>
              <w:spacing w:after="160" w:line="259" w:lineRule="auto"/>
              <w:ind w:left="0" w:firstLine="0"/>
              <w:jc w:val="left"/>
            </w:pPr>
          </w:p>
        </w:tc>
        <w:tc>
          <w:tcPr>
            <w:tcW w:w="2863" w:type="dxa"/>
            <w:tcBorders>
              <w:top w:val="nil"/>
              <w:left w:val="nil"/>
              <w:bottom w:val="nil"/>
              <w:right w:val="nil"/>
            </w:tcBorders>
            <w:vAlign w:val="bottom"/>
          </w:tcPr>
          <w:p w:rsidR="00D0456E" w:rsidRDefault="00927C2A">
            <w:pPr>
              <w:spacing w:after="0" w:line="259" w:lineRule="auto"/>
              <w:ind w:left="0" w:firstLine="0"/>
              <w:jc w:val="left"/>
            </w:pPr>
            <w:r>
              <w:t xml:space="preserve">– $60,000 gain on </w:t>
            </w:r>
          </w:p>
        </w:tc>
        <w:tc>
          <w:tcPr>
            <w:tcW w:w="236" w:type="dxa"/>
            <w:tcBorders>
              <w:top w:val="nil"/>
              <w:left w:val="nil"/>
              <w:bottom w:val="nil"/>
              <w:right w:val="nil"/>
            </w:tcBorders>
          </w:tcPr>
          <w:p w:rsidR="00D0456E" w:rsidRDefault="00927C2A">
            <w:pPr>
              <w:spacing w:after="0" w:line="259" w:lineRule="auto"/>
              <w:ind w:left="0" w:firstLine="0"/>
              <w:jc w:val="left"/>
            </w:pPr>
            <w:r>
              <w:t xml:space="preserve"> </w:t>
            </w:r>
          </w:p>
        </w:tc>
        <w:tc>
          <w:tcPr>
            <w:tcW w:w="1115" w:type="dxa"/>
            <w:tcBorders>
              <w:top w:val="nil"/>
              <w:left w:val="nil"/>
              <w:bottom w:val="nil"/>
              <w:right w:val="nil"/>
            </w:tcBorders>
            <w:vAlign w:val="bottom"/>
          </w:tcPr>
          <w:p w:rsidR="00D0456E" w:rsidRDefault="00927C2A">
            <w:pPr>
              <w:spacing w:after="0" w:line="259" w:lineRule="auto"/>
              <w:ind w:left="0" w:right="1" w:firstLine="0"/>
              <w:jc w:val="right"/>
            </w:pPr>
            <w:r>
              <w:t>(60,000)</w:t>
            </w:r>
          </w:p>
        </w:tc>
      </w:tr>
      <w:tr w:rsidR="00D0456E">
        <w:trPr>
          <w:trHeight w:val="218"/>
        </w:trPr>
        <w:tc>
          <w:tcPr>
            <w:tcW w:w="2635" w:type="dxa"/>
            <w:tcBorders>
              <w:top w:val="nil"/>
              <w:left w:val="nil"/>
              <w:bottom w:val="nil"/>
              <w:right w:val="nil"/>
            </w:tcBorders>
          </w:tcPr>
          <w:p w:rsidR="00D0456E" w:rsidRDefault="00927C2A">
            <w:pPr>
              <w:spacing w:after="0" w:line="259" w:lineRule="auto"/>
              <w:ind w:left="0" w:firstLine="0"/>
              <w:jc w:val="left"/>
            </w:pPr>
            <w:r>
              <w:t xml:space="preserve"> </w:t>
            </w:r>
          </w:p>
        </w:tc>
        <w:tc>
          <w:tcPr>
            <w:tcW w:w="1346" w:type="dxa"/>
            <w:tcBorders>
              <w:top w:val="nil"/>
              <w:left w:val="nil"/>
              <w:bottom w:val="nil"/>
              <w:right w:val="nil"/>
            </w:tcBorders>
          </w:tcPr>
          <w:p w:rsidR="00D0456E" w:rsidRDefault="00D0456E">
            <w:pPr>
              <w:spacing w:after="160" w:line="259" w:lineRule="auto"/>
              <w:ind w:left="0" w:firstLine="0"/>
              <w:jc w:val="left"/>
            </w:pPr>
          </w:p>
        </w:tc>
        <w:tc>
          <w:tcPr>
            <w:tcW w:w="2863" w:type="dxa"/>
            <w:tcBorders>
              <w:top w:val="nil"/>
              <w:left w:val="nil"/>
              <w:bottom w:val="nil"/>
              <w:right w:val="nil"/>
            </w:tcBorders>
          </w:tcPr>
          <w:p w:rsidR="00D0456E" w:rsidRDefault="00927C2A">
            <w:pPr>
              <w:spacing w:after="0" w:line="259" w:lineRule="auto"/>
              <w:ind w:left="0" w:firstLine="0"/>
              <w:jc w:val="left"/>
            </w:pPr>
            <w:r>
              <w:t xml:space="preserve">intercompany sale to SubCo† </w:t>
            </w:r>
          </w:p>
        </w:tc>
        <w:tc>
          <w:tcPr>
            <w:tcW w:w="236" w:type="dxa"/>
            <w:tcBorders>
              <w:top w:val="nil"/>
              <w:left w:val="nil"/>
              <w:bottom w:val="nil"/>
              <w:right w:val="nil"/>
            </w:tcBorders>
          </w:tcPr>
          <w:p w:rsidR="00D0456E" w:rsidRDefault="00927C2A">
            <w:pPr>
              <w:spacing w:after="0" w:line="259" w:lineRule="auto"/>
              <w:ind w:left="0" w:firstLine="0"/>
              <w:jc w:val="left"/>
            </w:pPr>
            <w:r>
              <w:t xml:space="preserve"> </w:t>
            </w:r>
          </w:p>
        </w:tc>
        <w:tc>
          <w:tcPr>
            <w:tcW w:w="1115" w:type="dxa"/>
            <w:tcBorders>
              <w:top w:val="nil"/>
              <w:left w:val="nil"/>
              <w:bottom w:val="nil"/>
              <w:right w:val="nil"/>
            </w:tcBorders>
          </w:tcPr>
          <w:p w:rsidR="00D0456E" w:rsidRDefault="00D0456E">
            <w:pPr>
              <w:spacing w:after="160" w:line="259" w:lineRule="auto"/>
              <w:ind w:left="0" w:firstLine="0"/>
              <w:jc w:val="left"/>
            </w:pPr>
          </w:p>
        </w:tc>
      </w:tr>
      <w:tr w:rsidR="00D0456E">
        <w:trPr>
          <w:trHeight w:val="228"/>
        </w:trPr>
        <w:tc>
          <w:tcPr>
            <w:tcW w:w="2635" w:type="dxa"/>
            <w:tcBorders>
              <w:top w:val="nil"/>
              <w:left w:val="nil"/>
              <w:bottom w:val="nil"/>
              <w:right w:val="nil"/>
            </w:tcBorders>
          </w:tcPr>
          <w:p w:rsidR="00D0456E" w:rsidRDefault="00927C2A">
            <w:pPr>
              <w:spacing w:after="0" w:line="259" w:lineRule="auto"/>
              <w:ind w:left="0" w:firstLine="0"/>
              <w:jc w:val="left"/>
            </w:pPr>
            <w:r>
              <w:rPr>
                <w:b/>
              </w:rPr>
              <w:t>Consolidated</w:t>
            </w:r>
            <w:r>
              <w:t xml:space="preserve"> </w:t>
            </w:r>
          </w:p>
        </w:tc>
        <w:tc>
          <w:tcPr>
            <w:tcW w:w="1346" w:type="dxa"/>
            <w:tcBorders>
              <w:top w:val="nil"/>
              <w:left w:val="nil"/>
              <w:bottom w:val="nil"/>
              <w:right w:val="nil"/>
            </w:tcBorders>
          </w:tcPr>
          <w:p w:rsidR="00D0456E" w:rsidRDefault="00D0456E">
            <w:pPr>
              <w:spacing w:after="160" w:line="259" w:lineRule="auto"/>
              <w:ind w:left="0" w:firstLine="0"/>
              <w:jc w:val="left"/>
            </w:pPr>
          </w:p>
        </w:tc>
        <w:tc>
          <w:tcPr>
            <w:tcW w:w="2863" w:type="dxa"/>
            <w:tcBorders>
              <w:top w:val="nil"/>
              <w:left w:val="nil"/>
              <w:bottom w:val="nil"/>
              <w:right w:val="nil"/>
            </w:tcBorders>
          </w:tcPr>
          <w:p w:rsidR="00D0456E" w:rsidRDefault="00D0456E">
            <w:pPr>
              <w:spacing w:after="160" w:line="259" w:lineRule="auto"/>
              <w:ind w:left="0" w:firstLine="0"/>
              <w:jc w:val="left"/>
            </w:pPr>
          </w:p>
        </w:tc>
        <w:tc>
          <w:tcPr>
            <w:tcW w:w="236" w:type="dxa"/>
            <w:tcBorders>
              <w:top w:val="nil"/>
              <w:left w:val="nil"/>
              <w:bottom w:val="nil"/>
              <w:right w:val="nil"/>
            </w:tcBorders>
          </w:tcPr>
          <w:p w:rsidR="00D0456E" w:rsidRDefault="00927C2A">
            <w:pPr>
              <w:spacing w:after="0" w:line="259" w:lineRule="auto"/>
              <w:ind w:left="0" w:firstLine="0"/>
              <w:jc w:val="left"/>
            </w:pPr>
            <w:r>
              <w:t xml:space="preserve"> </w:t>
            </w:r>
          </w:p>
        </w:tc>
        <w:tc>
          <w:tcPr>
            <w:tcW w:w="1115" w:type="dxa"/>
            <w:tcBorders>
              <w:top w:val="nil"/>
              <w:left w:val="nil"/>
              <w:bottom w:val="nil"/>
              <w:right w:val="nil"/>
            </w:tcBorders>
            <w:vAlign w:val="bottom"/>
          </w:tcPr>
          <w:p w:rsidR="00D0456E" w:rsidRDefault="00927C2A">
            <w:pPr>
              <w:spacing w:after="0" w:line="259" w:lineRule="auto"/>
              <w:ind w:left="176" w:firstLine="0"/>
              <w:jc w:val="left"/>
            </w:pPr>
            <w:r>
              <w:rPr>
                <w:rFonts w:ascii="Calibri" w:eastAsia="Calibri" w:hAnsi="Calibri" w:cs="Calibri"/>
                <w:noProof/>
              </w:rPr>
              <mc:AlternateContent>
                <mc:Choice Requires="wpg">
                  <w:drawing>
                    <wp:inline distT="0" distB="0" distL="0" distR="0">
                      <wp:extent cx="548640" cy="9525"/>
                      <wp:effectExtent l="0" t="0" r="0" b="0"/>
                      <wp:docPr id="42573" name="Group 42573"/>
                      <wp:cNvGraphicFramePr/>
                      <a:graphic xmlns:a="http://schemas.openxmlformats.org/drawingml/2006/main">
                        <a:graphicData uri="http://schemas.microsoft.com/office/word/2010/wordprocessingGroup">
                          <wpg:wgp>
                            <wpg:cNvGrpSpPr/>
                            <wpg:grpSpPr>
                              <a:xfrm>
                                <a:off x="0" y="0"/>
                                <a:ext cx="548640" cy="9525"/>
                                <a:chOff x="0" y="0"/>
                                <a:chExt cx="548640" cy="9525"/>
                              </a:xfrm>
                            </wpg:grpSpPr>
                            <wps:wsp>
                              <wps:cNvPr id="2179" name="Shape 2179"/>
                              <wps:cNvSpPr/>
                              <wps:spPr>
                                <a:xfrm>
                                  <a:off x="0" y="0"/>
                                  <a:ext cx="548640" cy="0"/>
                                </a:xfrm>
                                <a:custGeom>
                                  <a:avLst/>
                                  <a:gdLst/>
                                  <a:ahLst/>
                                  <a:cxnLst/>
                                  <a:rect l="0" t="0" r="0" b="0"/>
                                  <a:pathLst>
                                    <a:path w="548640">
                                      <a:moveTo>
                                        <a:pt x="0" y="0"/>
                                      </a:moveTo>
                                      <a:lnTo>
                                        <a:pt x="548640" y="0"/>
                                      </a:lnTo>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2573" style="width:43.2pt;height:0.75pt;mso-position-horizontal-relative:char;mso-position-vertical-relative:line" coordsize="5486,95">
                      <v:shape id="Shape 2179" style="position:absolute;width:5486;height:0;left:0;top:0;" coordsize="548640,0" path="m0,0l548640,0">
                        <v:stroke weight="0.75pt" endcap="round" joinstyle="round" on="true" color="#000000"/>
                        <v:fill on="false" color="#000000" opacity="0"/>
                      </v:shape>
                    </v:group>
                  </w:pict>
                </mc:Fallback>
              </mc:AlternateContent>
            </w:r>
          </w:p>
        </w:tc>
      </w:tr>
      <w:tr w:rsidR="00D0456E">
        <w:trPr>
          <w:trHeight w:val="972"/>
        </w:trPr>
        <w:tc>
          <w:tcPr>
            <w:tcW w:w="2635" w:type="dxa"/>
            <w:tcBorders>
              <w:top w:val="nil"/>
              <w:left w:val="nil"/>
              <w:bottom w:val="nil"/>
              <w:right w:val="nil"/>
            </w:tcBorders>
          </w:tcPr>
          <w:p w:rsidR="00D0456E" w:rsidRDefault="00927C2A">
            <w:pPr>
              <w:spacing w:after="0" w:line="259" w:lineRule="auto"/>
              <w:ind w:left="0" w:firstLine="0"/>
              <w:jc w:val="left"/>
            </w:pPr>
            <w:r>
              <w:rPr>
                <w:b/>
              </w:rPr>
              <w:t xml:space="preserve">       Taxable Income</w:t>
            </w:r>
            <w:r>
              <w:t xml:space="preserve"> </w:t>
            </w:r>
          </w:p>
          <w:p w:rsidR="00D0456E" w:rsidRDefault="00927C2A">
            <w:pPr>
              <w:spacing w:after="0" w:line="259" w:lineRule="auto"/>
              <w:ind w:left="0" w:firstLine="0"/>
              <w:jc w:val="left"/>
            </w:pPr>
            <w:r>
              <w:t xml:space="preserve"> </w:t>
            </w:r>
          </w:p>
          <w:p w:rsidR="00D0456E" w:rsidRDefault="00927C2A">
            <w:pPr>
              <w:spacing w:after="0" w:line="259" w:lineRule="auto"/>
              <w:ind w:left="0" w:firstLine="0"/>
              <w:jc w:val="left"/>
            </w:pPr>
            <w:r>
              <w:t xml:space="preserve">NOTES </w:t>
            </w:r>
          </w:p>
          <w:p w:rsidR="00D0456E" w:rsidRDefault="00927C2A">
            <w:pPr>
              <w:spacing w:after="0" w:line="259" w:lineRule="auto"/>
              <w:ind w:left="0" w:firstLine="0"/>
              <w:jc w:val="left"/>
            </w:pPr>
            <w:r>
              <w:t xml:space="preserve">† Matching Rule </w:t>
            </w:r>
          </w:p>
        </w:tc>
        <w:tc>
          <w:tcPr>
            <w:tcW w:w="1346" w:type="dxa"/>
            <w:tcBorders>
              <w:top w:val="nil"/>
              <w:left w:val="nil"/>
              <w:bottom w:val="nil"/>
              <w:right w:val="nil"/>
            </w:tcBorders>
          </w:tcPr>
          <w:p w:rsidR="00D0456E" w:rsidRDefault="00D0456E">
            <w:pPr>
              <w:spacing w:after="160" w:line="259" w:lineRule="auto"/>
              <w:ind w:left="0" w:firstLine="0"/>
              <w:jc w:val="left"/>
            </w:pPr>
          </w:p>
        </w:tc>
        <w:tc>
          <w:tcPr>
            <w:tcW w:w="2863" w:type="dxa"/>
            <w:tcBorders>
              <w:top w:val="nil"/>
              <w:left w:val="nil"/>
              <w:bottom w:val="nil"/>
              <w:right w:val="nil"/>
            </w:tcBorders>
          </w:tcPr>
          <w:p w:rsidR="00D0456E" w:rsidRDefault="00D0456E">
            <w:pPr>
              <w:spacing w:after="160" w:line="259" w:lineRule="auto"/>
              <w:ind w:left="0" w:firstLine="0"/>
              <w:jc w:val="left"/>
            </w:pPr>
          </w:p>
        </w:tc>
        <w:tc>
          <w:tcPr>
            <w:tcW w:w="236" w:type="dxa"/>
            <w:tcBorders>
              <w:top w:val="nil"/>
              <w:left w:val="nil"/>
              <w:bottom w:val="nil"/>
              <w:right w:val="nil"/>
            </w:tcBorders>
          </w:tcPr>
          <w:p w:rsidR="00D0456E" w:rsidRDefault="00927C2A">
            <w:pPr>
              <w:spacing w:after="0" w:line="259" w:lineRule="auto"/>
              <w:ind w:left="0" w:firstLine="0"/>
              <w:jc w:val="left"/>
            </w:pPr>
            <w:r>
              <w:t xml:space="preserve"> </w:t>
            </w:r>
          </w:p>
          <w:p w:rsidR="00D0456E" w:rsidRDefault="00927C2A">
            <w:pPr>
              <w:spacing w:after="0" w:line="226" w:lineRule="auto"/>
              <w:ind w:left="0" w:right="181" w:firstLine="0"/>
            </w:pPr>
            <w:r>
              <w:t xml:space="preserve">  </w:t>
            </w:r>
          </w:p>
          <w:p w:rsidR="00D0456E" w:rsidRDefault="00927C2A">
            <w:pPr>
              <w:spacing w:after="0" w:line="259" w:lineRule="auto"/>
              <w:ind w:left="1" w:firstLine="0"/>
              <w:jc w:val="left"/>
            </w:pPr>
            <w:r>
              <w:t xml:space="preserve"> </w:t>
            </w:r>
          </w:p>
        </w:tc>
        <w:tc>
          <w:tcPr>
            <w:tcW w:w="1115" w:type="dxa"/>
            <w:tcBorders>
              <w:top w:val="nil"/>
              <w:left w:val="nil"/>
              <w:bottom w:val="nil"/>
              <w:right w:val="nil"/>
            </w:tcBorders>
          </w:tcPr>
          <w:p w:rsidR="00D0456E" w:rsidRDefault="00927C2A">
            <w:pPr>
              <w:spacing w:after="0" w:line="259" w:lineRule="auto"/>
              <w:ind w:left="0" w:right="74" w:firstLine="0"/>
              <w:jc w:val="right"/>
            </w:pPr>
            <w:r>
              <w:rPr>
                <w:b/>
                <w:u w:val="single" w:color="000000"/>
              </w:rPr>
              <w:t>$110,000</w:t>
            </w:r>
          </w:p>
          <w:p w:rsidR="00D0456E" w:rsidRDefault="00927C2A">
            <w:pPr>
              <w:spacing w:after="0" w:line="259" w:lineRule="auto"/>
              <w:ind w:left="168" w:firstLine="0"/>
              <w:jc w:val="left"/>
            </w:pPr>
            <w:r>
              <w:rPr>
                <w:rFonts w:ascii="Calibri" w:eastAsia="Calibri" w:hAnsi="Calibri" w:cs="Calibri"/>
                <w:noProof/>
              </w:rPr>
              <mc:AlternateContent>
                <mc:Choice Requires="wpg">
                  <w:drawing>
                    <wp:inline distT="0" distB="0" distL="0" distR="0">
                      <wp:extent cx="548640" cy="9525"/>
                      <wp:effectExtent l="0" t="0" r="0" b="0"/>
                      <wp:docPr id="42664" name="Group 42664"/>
                      <wp:cNvGraphicFramePr/>
                      <a:graphic xmlns:a="http://schemas.openxmlformats.org/drawingml/2006/main">
                        <a:graphicData uri="http://schemas.microsoft.com/office/word/2010/wordprocessingGroup">
                          <wpg:wgp>
                            <wpg:cNvGrpSpPr/>
                            <wpg:grpSpPr>
                              <a:xfrm>
                                <a:off x="0" y="0"/>
                                <a:ext cx="548640" cy="9525"/>
                                <a:chOff x="0" y="0"/>
                                <a:chExt cx="548640" cy="9525"/>
                              </a:xfrm>
                            </wpg:grpSpPr>
                            <wps:wsp>
                              <wps:cNvPr id="2181" name="Shape 2181"/>
                              <wps:cNvSpPr/>
                              <wps:spPr>
                                <a:xfrm>
                                  <a:off x="0" y="0"/>
                                  <a:ext cx="548640" cy="0"/>
                                </a:xfrm>
                                <a:custGeom>
                                  <a:avLst/>
                                  <a:gdLst/>
                                  <a:ahLst/>
                                  <a:cxnLst/>
                                  <a:rect l="0" t="0" r="0" b="0"/>
                                  <a:pathLst>
                                    <a:path w="548640">
                                      <a:moveTo>
                                        <a:pt x="0" y="0"/>
                                      </a:moveTo>
                                      <a:lnTo>
                                        <a:pt x="548640" y="0"/>
                                      </a:lnTo>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2664" style="width:43.2pt;height:0.75pt;mso-position-horizontal-relative:char;mso-position-vertical-relative:line" coordsize="5486,95">
                      <v:shape id="Shape 2181" style="position:absolute;width:5486;height:0;left:0;top:0;" coordsize="548640,0" path="m0,0l548640,0">
                        <v:stroke weight="0.75pt" endcap="round" joinstyle="round" on="true" color="#000000"/>
                        <v:fill on="false" color="#000000" opacity="0"/>
                      </v:shape>
                    </v:group>
                  </w:pict>
                </mc:Fallback>
              </mc:AlternateContent>
            </w:r>
          </w:p>
        </w:tc>
      </w:tr>
    </w:tbl>
    <w:p w:rsidR="00D0456E" w:rsidRDefault="00927C2A">
      <w:pPr>
        <w:spacing w:after="40" w:line="259" w:lineRule="auto"/>
        <w:ind w:left="1426" w:right="-73" w:firstLine="0"/>
        <w:jc w:val="left"/>
      </w:pPr>
      <w:r>
        <w:rPr>
          <w:rFonts w:ascii="Calibri" w:eastAsia="Calibri" w:hAnsi="Calibri" w:cs="Calibri"/>
          <w:noProof/>
        </w:rPr>
        <mc:AlternateContent>
          <mc:Choice Requires="wpg">
            <w:drawing>
              <wp:inline distT="0" distB="0" distL="0" distR="0">
                <wp:extent cx="5349240" cy="6096"/>
                <wp:effectExtent l="0" t="0" r="0" b="0"/>
                <wp:docPr id="41128" name="Group 41128"/>
                <wp:cNvGraphicFramePr/>
                <a:graphic xmlns:a="http://schemas.openxmlformats.org/drawingml/2006/main">
                  <a:graphicData uri="http://schemas.microsoft.com/office/word/2010/wordprocessingGroup">
                    <wpg:wgp>
                      <wpg:cNvGrpSpPr/>
                      <wpg:grpSpPr>
                        <a:xfrm>
                          <a:off x="0" y="0"/>
                          <a:ext cx="5349240" cy="6096"/>
                          <a:chOff x="0" y="0"/>
                          <a:chExt cx="5349240" cy="6096"/>
                        </a:xfrm>
                      </wpg:grpSpPr>
                      <wps:wsp>
                        <wps:cNvPr id="46411" name="Shape 46411"/>
                        <wps:cNvSpPr/>
                        <wps:spPr>
                          <a:xfrm>
                            <a:off x="0" y="0"/>
                            <a:ext cx="1655064" cy="9144"/>
                          </a:xfrm>
                          <a:custGeom>
                            <a:avLst/>
                            <a:gdLst/>
                            <a:ahLst/>
                            <a:cxnLst/>
                            <a:rect l="0" t="0" r="0" b="0"/>
                            <a:pathLst>
                              <a:path w="1655064" h="9144">
                                <a:moveTo>
                                  <a:pt x="0" y="0"/>
                                </a:moveTo>
                                <a:lnTo>
                                  <a:pt x="1655064" y="0"/>
                                </a:lnTo>
                                <a:lnTo>
                                  <a:pt x="16550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412" name="Shape 46412"/>
                        <wps:cNvSpPr/>
                        <wps:spPr>
                          <a:xfrm>
                            <a:off x="1645920" y="0"/>
                            <a:ext cx="740664" cy="9144"/>
                          </a:xfrm>
                          <a:custGeom>
                            <a:avLst/>
                            <a:gdLst/>
                            <a:ahLst/>
                            <a:cxnLst/>
                            <a:rect l="0" t="0" r="0" b="0"/>
                            <a:pathLst>
                              <a:path w="740664" h="9144">
                                <a:moveTo>
                                  <a:pt x="0" y="0"/>
                                </a:moveTo>
                                <a:lnTo>
                                  <a:pt x="740664" y="0"/>
                                </a:lnTo>
                                <a:lnTo>
                                  <a:pt x="7406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413" name="Shape 46413"/>
                        <wps:cNvSpPr/>
                        <wps:spPr>
                          <a:xfrm>
                            <a:off x="2377440" y="0"/>
                            <a:ext cx="159258" cy="9144"/>
                          </a:xfrm>
                          <a:custGeom>
                            <a:avLst/>
                            <a:gdLst/>
                            <a:ahLst/>
                            <a:cxnLst/>
                            <a:rect l="0" t="0" r="0" b="0"/>
                            <a:pathLst>
                              <a:path w="159258" h="9144">
                                <a:moveTo>
                                  <a:pt x="0" y="0"/>
                                </a:moveTo>
                                <a:lnTo>
                                  <a:pt x="159258" y="0"/>
                                </a:lnTo>
                                <a:lnTo>
                                  <a:pt x="1592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414" name="Shape 46414"/>
                        <wps:cNvSpPr/>
                        <wps:spPr>
                          <a:xfrm>
                            <a:off x="2527554" y="0"/>
                            <a:ext cx="1827276" cy="9144"/>
                          </a:xfrm>
                          <a:custGeom>
                            <a:avLst/>
                            <a:gdLst/>
                            <a:ahLst/>
                            <a:cxnLst/>
                            <a:rect l="0" t="0" r="0" b="0"/>
                            <a:pathLst>
                              <a:path w="1827276" h="9144">
                                <a:moveTo>
                                  <a:pt x="0" y="0"/>
                                </a:moveTo>
                                <a:lnTo>
                                  <a:pt x="1827276" y="0"/>
                                </a:lnTo>
                                <a:lnTo>
                                  <a:pt x="182727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415" name="Shape 46415"/>
                        <wps:cNvSpPr/>
                        <wps:spPr>
                          <a:xfrm>
                            <a:off x="4345686" y="0"/>
                            <a:ext cx="159258" cy="9144"/>
                          </a:xfrm>
                          <a:custGeom>
                            <a:avLst/>
                            <a:gdLst/>
                            <a:ahLst/>
                            <a:cxnLst/>
                            <a:rect l="0" t="0" r="0" b="0"/>
                            <a:pathLst>
                              <a:path w="159258" h="9144">
                                <a:moveTo>
                                  <a:pt x="0" y="0"/>
                                </a:moveTo>
                                <a:lnTo>
                                  <a:pt x="159258" y="0"/>
                                </a:lnTo>
                                <a:lnTo>
                                  <a:pt x="1592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416" name="Shape 46416"/>
                        <wps:cNvSpPr/>
                        <wps:spPr>
                          <a:xfrm>
                            <a:off x="4495800" y="0"/>
                            <a:ext cx="853440" cy="9144"/>
                          </a:xfrm>
                          <a:custGeom>
                            <a:avLst/>
                            <a:gdLst/>
                            <a:ahLst/>
                            <a:cxnLst/>
                            <a:rect l="0" t="0" r="0" b="0"/>
                            <a:pathLst>
                              <a:path w="853440" h="9144">
                                <a:moveTo>
                                  <a:pt x="0" y="0"/>
                                </a:moveTo>
                                <a:lnTo>
                                  <a:pt x="853440" y="0"/>
                                </a:lnTo>
                                <a:lnTo>
                                  <a:pt x="8534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1128" style="width:421.2pt;height:0.47998pt;mso-position-horizontal-relative:char;mso-position-vertical-relative:line" coordsize="53492,60">
                <v:shape id="Shape 46417" style="position:absolute;width:16550;height:91;left:0;top:0;" coordsize="1655064,9144" path="m0,0l1655064,0l1655064,9144l0,9144l0,0">
                  <v:stroke weight="0pt" endcap="flat" joinstyle="miter" miterlimit="10" on="false" color="#000000" opacity="0"/>
                  <v:fill on="true" color="#000000"/>
                </v:shape>
                <v:shape id="Shape 46418" style="position:absolute;width:7406;height:91;left:16459;top:0;" coordsize="740664,9144" path="m0,0l740664,0l740664,9144l0,9144l0,0">
                  <v:stroke weight="0pt" endcap="flat" joinstyle="miter" miterlimit="10" on="false" color="#000000" opacity="0"/>
                  <v:fill on="true" color="#000000"/>
                </v:shape>
                <v:shape id="Shape 46419" style="position:absolute;width:1592;height:91;left:23774;top:0;" coordsize="159258,9144" path="m0,0l159258,0l159258,9144l0,9144l0,0">
                  <v:stroke weight="0pt" endcap="flat" joinstyle="miter" miterlimit="10" on="false" color="#000000" opacity="0"/>
                  <v:fill on="true" color="#000000"/>
                </v:shape>
                <v:shape id="Shape 46420" style="position:absolute;width:18272;height:91;left:25275;top:0;" coordsize="1827276,9144" path="m0,0l1827276,0l1827276,9144l0,9144l0,0">
                  <v:stroke weight="0pt" endcap="flat" joinstyle="miter" miterlimit="10" on="false" color="#000000" opacity="0"/>
                  <v:fill on="true" color="#000000"/>
                </v:shape>
                <v:shape id="Shape 46421" style="position:absolute;width:1592;height:91;left:43456;top:0;" coordsize="159258,9144" path="m0,0l159258,0l159258,9144l0,9144l0,0">
                  <v:stroke weight="0pt" endcap="flat" joinstyle="miter" miterlimit="10" on="false" color="#000000" opacity="0"/>
                  <v:fill on="true" color="#000000"/>
                </v:shape>
                <v:shape id="Shape 46422" style="position:absolute;width:8534;height:91;left:44958;top:0;" coordsize="853440,9144" path="m0,0l853440,0l853440,9144l0,9144l0,0">
                  <v:stroke weight="0pt" endcap="flat" joinstyle="miter" miterlimit="10" on="false" color="#000000" opacity="0"/>
                  <v:fill on="true" color="#000000"/>
                </v:shape>
              </v:group>
            </w:pict>
          </mc:Fallback>
        </mc:AlternateContent>
      </w:r>
    </w:p>
    <w:p w:rsidR="00D0456E" w:rsidRDefault="00927C2A">
      <w:pPr>
        <w:spacing w:after="85" w:line="259" w:lineRule="auto"/>
        <w:ind w:left="0" w:firstLine="0"/>
        <w:jc w:val="left"/>
      </w:pPr>
      <w:r>
        <w:t xml:space="preserve"> </w:t>
      </w:r>
    </w:p>
    <w:p w:rsidR="00D0456E" w:rsidRDefault="00927C2A">
      <w:pPr>
        <w:numPr>
          <w:ilvl w:val="1"/>
          <w:numId w:val="16"/>
        </w:numPr>
        <w:ind w:right="43" w:hanging="720"/>
      </w:pPr>
      <w:r>
        <w:t xml:space="preserve">The group result includes the $30,000 post-acquisition gain realized and recognized by SubCo on the land. </w:t>
      </w:r>
    </w:p>
    <w:tbl>
      <w:tblPr>
        <w:tblStyle w:val="TableGrid"/>
        <w:tblW w:w="8410" w:type="dxa"/>
        <w:tblInd w:w="1440" w:type="dxa"/>
        <w:tblCellMar>
          <w:top w:w="1" w:type="dxa"/>
          <w:left w:w="0" w:type="dxa"/>
          <w:bottom w:w="87" w:type="dxa"/>
          <w:right w:w="56" w:type="dxa"/>
        </w:tblCellMar>
        <w:tblLook w:val="04A0" w:firstRow="1" w:lastRow="0" w:firstColumn="1" w:lastColumn="0" w:noHBand="0" w:noVBand="1"/>
      </w:tblPr>
      <w:tblGrid>
        <w:gridCol w:w="108"/>
        <w:gridCol w:w="2645"/>
        <w:gridCol w:w="1336"/>
        <w:gridCol w:w="724"/>
        <w:gridCol w:w="2139"/>
        <w:gridCol w:w="236"/>
        <w:gridCol w:w="1042"/>
        <w:gridCol w:w="180"/>
      </w:tblGrid>
      <w:tr w:rsidR="00D0456E">
        <w:trPr>
          <w:trHeight w:val="810"/>
        </w:trPr>
        <w:tc>
          <w:tcPr>
            <w:tcW w:w="4813" w:type="dxa"/>
            <w:gridSpan w:val="4"/>
            <w:tcBorders>
              <w:top w:val="single" w:sz="4" w:space="0" w:color="000000"/>
              <w:left w:val="nil"/>
              <w:bottom w:val="single" w:sz="4" w:space="0" w:color="000000"/>
              <w:right w:val="nil"/>
            </w:tcBorders>
          </w:tcPr>
          <w:p w:rsidR="00D0456E" w:rsidRDefault="00927C2A">
            <w:pPr>
              <w:tabs>
                <w:tab w:val="center" w:pos="3168"/>
              </w:tabs>
              <w:spacing w:after="0" w:line="259" w:lineRule="auto"/>
              <w:ind w:left="0" w:firstLine="0"/>
              <w:jc w:val="left"/>
            </w:pPr>
            <w:r>
              <w:t xml:space="preserve"> </w:t>
            </w:r>
            <w:r>
              <w:tab/>
            </w:r>
            <w:r>
              <w:rPr>
                <w:b/>
              </w:rPr>
              <w:t>Separate</w:t>
            </w:r>
          </w:p>
          <w:p w:rsidR="00D0456E" w:rsidRDefault="00927C2A">
            <w:pPr>
              <w:spacing w:after="0" w:line="259" w:lineRule="auto"/>
              <w:ind w:left="1578" w:firstLine="0"/>
              <w:jc w:val="center"/>
            </w:pPr>
            <w:r>
              <w:rPr>
                <w:b/>
              </w:rPr>
              <w:t xml:space="preserve">Taxable </w:t>
            </w:r>
          </w:p>
          <w:p w:rsidR="00D0456E" w:rsidRDefault="00927C2A">
            <w:pPr>
              <w:tabs>
                <w:tab w:val="center" w:pos="3167"/>
                <w:tab w:val="center" w:pos="3862"/>
              </w:tabs>
              <w:spacing w:after="0" w:line="259" w:lineRule="auto"/>
              <w:ind w:left="0" w:firstLine="0"/>
              <w:jc w:val="left"/>
            </w:pPr>
            <w:r>
              <w:rPr>
                <w:rFonts w:ascii="Calibri" w:eastAsia="Calibri" w:hAnsi="Calibri" w:cs="Calibri"/>
              </w:rPr>
              <w:tab/>
            </w:r>
            <w:r>
              <w:rPr>
                <w:b/>
              </w:rPr>
              <w:t>Income</w:t>
            </w:r>
            <w:r>
              <w:t xml:space="preserve"> </w:t>
            </w:r>
            <w:r>
              <w:tab/>
            </w:r>
            <w:r>
              <w:rPr>
                <w:b/>
              </w:rPr>
              <w:t xml:space="preserve"> </w:t>
            </w:r>
          </w:p>
        </w:tc>
        <w:tc>
          <w:tcPr>
            <w:tcW w:w="2375" w:type="dxa"/>
            <w:gridSpan w:val="2"/>
            <w:tcBorders>
              <w:top w:val="single" w:sz="4" w:space="0" w:color="000000"/>
              <w:left w:val="nil"/>
              <w:bottom w:val="single" w:sz="4" w:space="0" w:color="000000"/>
              <w:right w:val="nil"/>
            </w:tcBorders>
            <w:vAlign w:val="bottom"/>
          </w:tcPr>
          <w:p w:rsidR="00D0456E" w:rsidRDefault="00927C2A">
            <w:pPr>
              <w:tabs>
                <w:tab w:val="center" w:pos="2148"/>
              </w:tabs>
              <w:spacing w:after="0" w:line="259" w:lineRule="auto"/>
              <w:ind w:left="0" w:firstLine="0"/>
              <w:jc w:val="left"/>
            </w:pPr>
            <w:r>
              <w:rPr>
                <w:b/>
              </w:rPr>
              <w:t>Adjustments</w:t>
            </w:r>
            <w:r>
              <w:t xml:space="preserve"> </w:t>
            </w:r>
            <w:r>
              <w:tab/>
              <w:t xml:space="preserve"> </w:t>
            </w:r>
          </w:p>
        </w:tc>
        <w:tc>
          <w:tcPr>
            <w:tcW w:w="1222" w:type="dxa"/>
            <w:gridSpan w:val="2"/>
            <w:tcBorders>
              <w:top w:val="single" w:sz="4" w:space="0" w:color="000000"/>
              <w:left w:val="nil"/>
              <w:bottom w:val="single" w:sz="4" w:space="0" w:color="000000"/>
              <w:right w:val="nil"/>
            </w:tcBorders>
          </w:tcPr>
          <w:p w:rsidR="00D0456E" w:rsidRDefault="00927C2A">
            <w:pPr>
              <w:spacing w:after="0" w:line="259" w:lineRule="auto"/>
              <w:ind w:left="318" w:firstLine="0"/>
              <w:jc w:val="left"/>
            </w:pPr>
            <w:r>
              <w:rPr>
                <w:b/>
              </w:rPr>
              <w:t>Post-</w:t>
            </w:r>
          </w:p>
          <w:p w:rsidR="00D0456E" w:rsidRDefault="00927C2A">
            <w:pPr>
              <w:spacing w:after="0" w:line="259" w:lineRule="auto"/>
              <w:ind w:left="128" w:hanging="128"/>
              <w:jc w:val="left"/>
            </w:pPr>
            <w:r>
              <w:rPr>
                <w:b/>
              </w:rPr>
              <w:t>Adjustment Amounts</w:t>
            </w:r>
            <w:r>
              <w:t xml:space="preserve"> </w:t>
            </w:r>
          </w:p>
        </w:tc>
      </w:tr>
      <w:tr w:rsidR="00D0456E">
        <w:tblPrEx>
          <w:tblCellMar>
            <w:top w:w="0" w:type="dxa"/>
            <w:bottom w:w="0" w:type="dxa"/>
            <w:right w:w="0" w:type="dxa"/>
          </w:tblCellMar>
        </w:tblPrEx>
        <w:trPr>
          <w:gridBefore w:val="1"/>
          <w:gridAfter w:val="1"/>
          <w:wBefore w:w="108" w:type="dxa"/>
          <w:wAfter w:w="180" w:type="dxa"/>
          <w:trHeight w:val="220"/>
        </w:trPr>
        <w:tc>
          <w:tcPr>
            <w:tcW w:w="2645" w:type="dxa"/>
            <w:tcBorders>
              <w:top w:val="nil"/>
              <w:left w:val="nil"/>
              <w:bottom w:val="nil"/>
              <w:right w:val="nil"/>
            </w:tcBorders>
          </w:tcPr>
          <w:p w:rsidR="00D0456E" w:rsidRDefault="00927C2A">
            <w:pPr>
              <w:spacing w:after="0" w:line="259" w:lineRule="auto"/>
              <w:ind w:left="0" w:firstLine="0"/>
              <w:jc w:val="left"/>
            </w:pPr>
            <w:r>
              <w:t xml:space="preserve">B.I.G. information </w:t>
            </w:r>
          </w:p>
        </w:tc>
        <w:tc>
          <w:tcPr>
            <w:tcW w:w="1336" w:type="dxa"/>
            <w:tcBorders>
              <w:top w:val="nil"/>
              <w:left w:val="nil"/>
              <w:bottom w:val="nil"/>
              <w:right w:val="nil"/>
            </w:tcBorders>
          </w:tcPr>
          <w:p w:rsidR="00D0456E" w:rsidRDefault="00927C2A">
            <w:pPr>
              <w:spacing w:after="0" w:line="259" w:lineRule="auto"/>
              <w:ind w:left="99" w:firstLine="0"/>
              <w:jc w:val="left"/>
            </w:pPr>
            <w:r>
              <w:t>$90,000</w:t>
            </w:r>
          </w:p>
        </w:tc>
        <w:tc>
          <w:tcPr>
            <w:tcW w:w="2863" w:type="dxa"/>
            <w:gridSpan w:val="2"/>
            <w:tcBorders>
              <w:top w:val="nil"/>
              <w:left w:val="nil"/>
              <w:bottom w:val="nil"/>
              <w:right w:val="nil"/>
            </w:tcBorders>
          </w:tcPr>
          <w:p w:rsidR="00D0456E" w:rsidRDefault="00D0456E">
            <w:pPr>
              <w:spacing w:after="160" w:line="259" w:lineRule="auto"/>
              <w:ind w:left="0" w:firstLine="0"/>
              <w:jc w:val="left"/>
            </w:pPr>
          </w:p>
        </w:tc>
        <w:tc>
          <w:tcPr>
            <w:tcW w:w="236" w:type="dxa"/>
            <w:tcBorders>
              <w:top w:val="nil"/>
              <w:left w:val="nil"/>
              <w:bottom w:val="nil"/>
              <w:right w:val="nil"/>
            </w:tcBorders>
          </w:tcPr>
          <w:p w:rsidR="00D0456E" w:rsidRDefault="00927C2A">
            <w:pPr>
              <w:spacing w:after="0" w:line="259" w:lineRule="auto"/>
              <w:ind w:left="2" w:firstLine="0"/>
              <w:jc w:val="left"/>
            </w:pPr>
            <w:r>
              <w:t xml:space="preserve"> </w:t>
            </w:r>
          </w:p>
        </w:tc>
        <w:tc>
          <w:tcPr>
            <w:tcW w:w="1042" w:type="dxa"/>
            <w:tcBorders>
              <w:top w:val="nil"/>
              <w:left w:val="nil"/>
              <w:bottom w:val="nil"/>
              <w:right w:val="nil"/>
            </w:tcBorders>
          </w:tcPr>
          <w:p w:rsidR="00D0456E" w:rsidRDefault="00927C2A">
            <w:pPr>
              <w:spacing w:after="0" w:line="259" w:lineRule="auto"/>
              <w:ind w:left="0" w:firstLine="0"/>
              <w:jc w:val="right"/>
            </w:pPr>
            <w:r>
              <w:t>$  90,000</w:t>
            </w:r>
          </w:p>
        </w:tc>
      </w:tr>
      <w:tr w:rsidR="00D0456E">
        <w:tblPrEx>
          <w:tblCellMar>
            <w:top w:w="0" w:type="dxa"/>
            <w:bottom w:w="0" w:type="dxa"/>
            <w:right w:w="0" w:type="dxa"/>
          </w:tblCellMar>
        </w:tblPrEx>
        <w:trPr>
          <w:gridBefore w:val="1"/>
          <w:gridAfter w:val="1"/>
          <w:wBefore w:w="108" w:type="dxa"/>
          <w:wAfter w:w="180" w:type="dxa"/>
          <w:trHeight w:val="240"/>
        </w:trPr>
        <w:tc>
          <w:tcPr>
            <w:tcW w:w="2645" w:type="dxa"/>
            <w:tcBorders>
              <w:top w:val="nil"/>
              <w:left w:val="nil"/>
              <w:bottom w:val="nil"/>
              <w:right w:val="nil"/>
            </w:tcBorders>
          </w:tcPr>
          <w:p w:rsidR="00D0456E" w:rsidRDefault="00927C2A">
            <w:pPr>
              <w:spacing w:after="0" w:line="259" w:lineRule="auto"/>
              <w:ind w:left="0" w:firstLine="0"/>
              <w:jc w:val="left"/>
            </w:pPr>
            <w:r>
              <w:t xml:space="preserve">SubCo information </w:t>
            </w:r>
          </w:p>
        </w:tc>
        <w:tc>
          <w:tcPr>
            <w:tcW w:w="1336" w:type="dxa"/>
            <w:tcBorders>
              <w:top w:val="nil"/>
              <w:left w:val="nil"/>
              <w:bottom w:val="nil"/>
              <w:right w:val="nil"/>
            </w:tcBorders>
          </w:tcPr>
          <w:p w:rsidR="00D0456E" w:rsidRDefault="00927C2A">
            <w:pPr>
              <w:spacing w:after="0" w:line="259" w:lineRule="auto"/>
              <w:ind w:left="207" w:firstLine="0"/>
              <w:jc w:val="left"/>
            </w:pPr>
            <w:r>
              <w:t>50,000</w:t>
            </w:r>
          </w:p>
        </w:tc>
        <w:tc>
          <w:tcPr>
            <w:tcW w:w="2863" w:type="dxa"/>
            <w:gridSpan w:val="2"/>
            <w:tcBorders>
              <w:top w:val="nil"/>
              <w:left w:val="nil"/>
              <w:bottom w:val="nil"/>
              <w:right w:val="nil"/>
            </w:tcBorders>
          </w:tcPr>
          <w:p w:rsidR="00D0456E" w:rsidRDefault="00D0456E">
            <w:pPr>
              <w:spacing w:after="160" w:line="259" w:lineRule="auto"/>
              <w:ind w:left="0" w:firstLine="0"/>
              <w:jc w:val="left"/>
            </w:pPr>
          </w:p>
        </w:tc>
        <w:tc>
          <w:tcPr>
            <w:tcW w:w="236" w:type="dxa"/>
            <w:tcBorders>
              <w:top w:val="nil"/>
              <w:left w:val="nil"/>
              <w:bottom w:val="nil"/>
              <w:right w:val="nil"/>
            </w:tcBorders>
          </w:tcPr>
          <w:p w:rsidR="00D0456E" w:rsidRDefault="00927C2A">
            <w:pPr>
              <w:spacing w:after="0" w:line="259" w:lineRule="auto"/>
              <w:ind w:left="1" w:firstLine="0"/>
              <w:jc w:val="left"/>
            </w:pPr>
            <w:r>
              <w:t xml:space="preserve"> </w:t>
            </w:r>
          </w:p>
        </w:tc>
        <w:tc>
          <w:tcPr>
            <w:tcW w:w="1042" w:type="dxa"/>
            <w:tcBorders>
              <w:top w:val="nil"/>
              <w:left w:val="nil"/>
              <w:bottom w:val="nil"/>
              <w:right w:val="nil"/>
            </w:tcBorders>
          </w:tcPr>
          <w:p w:rsidR="00D0456E" w:rsidRDefault="00927C2A">
            <w:pPr>
              <w:spacing w:after="0" w:line="259" w:lineRule="auto"/>
              <w:ind w:left="0" w:right="1" w:firstLine="0"/>
              <w:jc w:val="right"/>
            </w:pPr>
            <w:r>
              <w:t>50,000</w:t>
            </w:r>
          </w:p>
        </w:tc>
      </w:tr>
      <w:tr w:rsidR="00D0456E">
        <w:tblPrEx>
          <w:tblCellMar>
            <w:top w:w="0" w:type="dxa"/>
            <w:bottom w:w="0" w:type="dxa"/>
            <w:right w:w="0" w:type="dxa"/>
          </w:tblCellMar>
        </w:tblPrEx>
        <w:trPr>
          <w:gridBefore w:val="1"/>
          <w:gridAfter w:val="1"/>
          <w:wBefore w:w="108" w:type="dxa"/>
          <w:wAfter w:w="180" w:type="dxa"/>
          <w:trHeight w:val="480"/>
        </w:trPr>
        <w:tc>
          <w:tcPr>
            <w:tcW w:w="2645" w:type="dxa"/>
            <w:tcBorders>
              <w:top w:val="nil"/>
              <w:left w:val="nil"/>
              <w:bottom w:val="nil"/>
              <w:right w:val="nil"/>
            </w:tcBorders>
          </w:tcPr>
          <w:p w:rsidR="00D0456E" w:rsidRDefault="00927C2A">
            <w:pPr>
              <w:spacing w:after="0" w:line="259" w:lineRule="auto"/>
              <w:ind w:left="0" w:firstLine="0"/>
              <w:jc w:val="left"/>
            </w:pPr>
            <w:r>
              <w:t xml:space="preserve">Group-basis transactions      intercompany events </w:t>
            </w:r>
          </w:p>
        </w:tc>
        <w:tc>
          <w:tcPr>
            <w:tcW w:w="1336" w:type="dxa"/>
            <w:tcBorders>
              <w:top w:val="nil"/>
              <w:left w:val="nil"/>
              <w:bottom w:val="nil"/>
              <w:right w:val="nil"/>
            </w:tcBorders>
          </w:tcPr>
          <w:p w:rsidR="00D0456E" w:rsidRDefault="00D0456E">
            <w:pPr>
              <w:spacing w:after="160" w:line="259" w:lineRule="auto"/>
              <w:ind w:left="0" w:firstLine="0"/>
              <w:jc w:val="left"/>
            </w:pPr>
          </w:p>
        </w:tc>
        <w:tc>
          <w:tcPr>
            <w:tcW w:w="2863" w:type="dxa"/>
            <w:gridSpan w:val="2"/>
            <w:tcBorders>
              <w:top w:val="nil"/>
              <w:left w:val="nil"/>
              <w:bottom w:val="nil"/>
              <w:right w:val="nil"/>
            </w:tcBorders>
            <w:vAlign w:val="bottom"/>
          </w:tcPr>
          <w:p w:rsidR="00D0456E" w:rsidRDefault="00927C2A">
            <w:pPr>
              <w:spacing w:after="0" w:line="259" w:lineRule="auto"/>
              <w:ind w:left="0" w:firstLine="0"/>
              <w:jc w:val="left"/>
            </w:pPr>
            <w:r>
              <w:t xml:space="preserve">– $60,000 gain on </w:t>
            </w:r>
          </w:p>
        </w:tc>
        <w:tc>
          <w:tcPr>
            <w:tcW w:w="236" w:type="dxa"/>
            <w:tcBorders>
              <w:top w:val="nil"/>
              <w:left w:val="nil"/>
              <w:bottom w:val="nil"/>
              <w:right w:val="nil"/>
            </w:tcBorders>
          </w:tcPr>
          <w:p w:rsidR="00D0456E" w:rsidRDefault="00927C2A">
            <w:pPr>
              <w:spacing w:after="0" w:line="259" w:lineRule="auto"/>
              <w:ind w:left="0" w:firstLine="0"/>
              <w:jc w:val="left"/>
            </w:pPr>
            <w:r>
              <w:t xml:space="preserve"> </w:t>
            </w:r>
          </w:p>
        </w:tc>
        <w:tc>
          <w:tcPr>
            <w:tcW w:w="1042" w:type="dxa"/>
            <w:tcBorders>
              <w:top w:val="nil"/>
              <w:left w:val="nil"/>
              <w:bottom w:val="nil"/>
              <w:right w:val="nil"/>
            </w:tcBorders>
            <w:vAlign w:val="bottom"/>
          </w:tcPr>
          <w:p w:rsidR="00D0456E" w:rsidRDefault="00927C2A">
            <w:pPr>
              <w:spacing w:after="0" w:line="259" w:lineRule="auto"/>
              <w:ind w:left="0" w:right="1" w:firstLine="0"/>
              <w:jc w:val="right"/>
            </w:pPr>
            <w:r>
              <w:t>60,000</w:t>
            </w:r>
          </w:p>
        </w:tc>
      </w:tr>
      <w:tr w:rsidR="00D0456E">
        <w:tblPrEx>
          <w:tblCellMar>
            <w:top w:w="0" w:type="dxa"/>
            <w:bottom w:w="0" w:type="dxa"/>
            <w:right w:w="0" w:type="dxa"/>
          </w:tblCellMar>
        </w:tblPrEx>
        <w:trPr>
          <w:gridBefore w:val="1"/>
          <w:gridAfter w:val="1"/>
          <w:wBefore w:w="108" w:type="dxa"/>
          <w:wAfter w:w="180" w:type="dxa"/>
          <w:trHeight w:val="218"/>
        </w:trPr>
        <w:tc>
          <w:tcPr>
            <w:tcW w:w="2645" w:type="dxa"/>
            <w:tcBorders>
              <w:top w:val="nil"/>
              <w:left w:val="nil"/>
              <w:bottom w:val="nil"/>
              <w:right w:val="nil"/>
            </w:tcBorders>
          </w:tcPr>
          <w:p w:rsidR="00D0456E" w:rsidRDefault="00927C2A">
            <w:pPr>
              <w:spacing w:after="0" w:line="259" w:lineRule="auto"/>
              <w:ind w:left="0" w:firstLine="0"/>
              <w:jc w:val="left"/>
            </w:pPr>
            <w:r>
              <w:t xml:space="preserve"> </w:t>
            </w:r>
          </w:p>
        </w:tc>
        <w:tc>
          <w:tcPr>
            <w:tcW w:w="1336" w:type="dxa"/>
            <w:tcBorders>
              <w:top w:val="nil"/>
              <w:left w:val="nil"/>
              <w:bottom w:val="nil"/>
              <w:right w:val="nil"/>
            </w:tcBorders>
          </w:tcPr>
          <w:p w:rsidR="00D0456E" w:rsidRDefault="00D0456E">
            <w:pPr>
              <w:spacing w:after="160" w:line="259" w:lineRule="auto"/>
              <w:ind w:left="0" w:firstLine="0"/>
              <w:jc w:val="left"/>
            </w:pPr>
          </w:p>
        </w:tc>
        <w:tc>
          <w:tcPr>
            <w:tcW w:w="2863" w:type="dxa"/>
            <w:gridSpan w:val="2"/>
            <w:tcBorders>
              <w:top w:val="nil"/>
              <w:left w:val="nil"/>
              <w:bottom w:val="nil"/>
              <w:right w:val="nil"/>
            </w:tcBorders>
          </w:tcPr>
          <w:p w:rsidR="00D0456E" w:rsidRDefault="00927C2A">
            <w:pPr>
              <w:spacing w:after="0" w:line="259" w:lineRule="auto"/>
              <w:ind w:left="0" w:firstLine="0"/>
              <w:jc w:val="left"/>
            </w:pPr>
            <w:r>
              <w:t xml:space="preserve">intercompany sale to SubCo† </w:t>
            </w:r>
          </w:p>
        </w:tc>
        <w:tc>
          <w:tcPr>
            <w:tcW w:w="236" w:type="dxa"/>
            <w:tcBorders>
              <w:top w:val="nil"/>
              <w:left w:val="nil"/>
              <w:bottom w:val="nil"/>
              <w:right w:val="nil"/>
            </w:tcBorders>
          </w:tcPr>
          <w:p w:rsidR="00D0456E" w:rsidRDefault="00927C2A">
            <w:pPr>
              <w:spacing w:after="0" w:line="259" w:lineRule="auto"/>
              <w:ind w:left="0" w:firstLine="0"/>
              <w:jc w:val="left"/>
            </w:pPr>
            <w:r>
              <w:t xml:space="preserve"> </w:t>
            </w:r>
          </w:p>
        </w:tc>
        <w:tc>
          <w:tcPr>
            <w:tcW w:w="1042" w:type="dxa"/>
            <w:tcBorders>
              <w:top w:val="nil"/>
              <w:left w:val="nil"/>
              <w:bottom w:val="nil"/>
              <w:right w:val="nil"/>
            </w:tcBorders>
          </w:tcPr>
          <w:p w:rsidR="00D0456E" w:rsidRDefault="00D0456E">
            <w:pPr>
              <w:spacing w:after="160" w:line="259" w:lineRule="auto"/>
              <w:ind w:left="0" w:firstLine="0"/>
              <w:jc w:val="left"/>
            </w:pPr>
          </w:p>
        </w:tc>
      </w:tr>
      <w:tr w:rsidR="00D0456E">
        <w:tblPrEx>
          <w:tblCellMar>
            <w:top w:w="0" w:type="dxa"/>
            <w:bottom w:w="0" w:type="dxa"/>
            <w:right w:w="0" w:type="dxa"/>
          </w:tblCellMar>
        </w:tblPrEx>
        <w:trPr>
          <w:gridBefore w:val="1"/>
          <w:gridAfter w:val="1"/>
          <w:wBefore w:w="108" w:type="dxa"/>
          <w:wAfter w:w="180" w:type="dxa"/>
          <w:trHeight w:val="228"/>
        </w:trPr>
        <w:tc>
          <w:tcPr>
            <w:tcW w:w="2645" w:type="dxa"/>
            <w:tcBorders>
              <w:top w:val="nil"/>
              <w:left w:val="nil"/>
              <w:bottom w:val="nil"/>
              <w:right w:val="nil"/>
            </w:tcBorders>
          </w:tcPr>
          <w:p w:rsidR="00D0456E" w:rsidRDefault="00927C2A">
            <w:pPr>
              <w:spacing w:after="0" w:line="259" w:lineRule="auto"/>
              <w:ind w:left="0" w:firstLine="0"/>
              <w:jc w:val="left"/>
            </w:pPr>
            <w:r>
              <w:rPr>
                <w:b/>
              </w:rPr>
              <w:t>Consolidated</w:t>
            </w:r>
            <w:r>
              <w:t xml:space="preserve"> </w:t>
            </w:r>
          </w:p>
        </w:tc>
        <w:tc>
          <w:tcPr>
            <w:tcW w:w="1336" w:type="dxa"/>
            <w:tcBorders>
              <w:top w:val="nil"/>
              <w:left w:val="nil"/>
              <w:bottom w:val="nil"/>
              <w:right w:val="nil"/>
            </w:tcBorders>
          </w:tcPr>
          <w:p w:rsidR="00D0456E" w:rsidRDefault="00D0456E">
            <w:pPr>
              <w:spacing w:after="160" w:line="259" w:lineRule="auto"/>
              <w:ind w:left="0" w:firstLine="0"/>
              <w:jc w:val="left"/>
            </w:pPr>
          </w:p>
        </w:tc>
        <w:tc>
          <w:tcPr>
            <w:tcW w:w="2863" w:type="dxa"/>
            <w:gridSpan w:val="2"/>
            <w:tcBorders>
              <w:top w:val="nil"/>
              <w:left w:val="nil"/>
              <w:bottom w:val="nil"/>
              <w:right w:val="nil"/>
            </w:tcBorders>
          </w:tcPr>
          <w:p w:rsidR="00D0456E" w:rsidRDefault="00D0456E">
            <w:pPr>
              <w:spacing w:after="160" w:line="259" w:lineRule="auto"/>
              <w:ind w:left="0" w:firstLine="0"/>
              <w:jc w:val="left"/>
            </w:pPr>
          </w:p>
        </w:tc>
        <w:tc>
          <w:tcPr>
            <w:tcW w:w="236" w:type="dxa"/>
            <w:tcBorders>
              <w:top w:val="nil"/>
              <w:left w:val="nil"/>
              <w:bottom w:val="nil"/>
              <w:right w:val="nil"/>
            </w:tcBorders>
          </w:tcPr>
          <w:p w:rsidR="00D0456E" w:rsidRDefault="00927C2A">
            <w:pPr>
              <w:spacing w:after="0" w:line="259" w:lineRule="auto"/>
              <w:ind w:left="0" w:firstLine="0"/>
              <w:jc w:val="left"/>
            </w:pPr>
            <w:r>
              <w:t xml:space="preserve"> </w:t>
            </w:r>
          </w:p>
        </w:tc>
        <w:tc>
          <w:tcPr>
            <w:tcW w:w="1042" w:type="dxa"/>
            <w:tcBorders>
              <w:top w:val="nil"/>
              <w:left w:val="nil"/>
              <w:bottom w:val="nil"/>
              <w:right w:val="nil"/>
            </w:tcBorders>
            <w:vAlign w:val="bottom"/>
          </w:tcPr>
          <w:p w:rsidR="00D0456E" w:rsidRDefault="00927C2A">
            <w:pPr>
              <w:spacing w:after="0" w:line="259" w:lineRule="auto"/>
              <w:ind w:left="176" w:firstLine="0"/>
              <w:jc w:val="left"/>
            </w:pPr>
            <w:r>
              <w:rPr>
                <w:rFonts w:ascii="Calibri" w:eastAsia="Calibri" w:hAnsi="Calibri" w:cs="Calibri"/>
                <w:noProof/>
              </w:rPr>
              <mc:AlternateContent>
                <mc:Choice Requires="wpg">
                  <w:drawing>
                    <wp:inline distT="0" distB="0" distL="0" distR="0">
                      <wp:extent cx="548640" cy="9525"/>
                      <wp:effectExtent l="0" t="0" r="0" b="0"/>
                      <wp:docPr id="43227" name="Group 43227"/>
                      <wp:cNvGraphicFramePr/>
                      <a:graphic xmlns:a="http://schemas.openxmlformats.org/drawingml/2006/main">
                        <a:graphicData uri="http://schemas.microsoft.com/office/word/2010/wordprocessingGroup">
                          <wpg:wgp>
                            <wpg:cNvGrpSpPr/>
                            <wpg:grpSpPr>
                              <a:xfrm>
                                <a:off x="0" y="0"/>
                                <a:ext cx="548640" cy="9525"/>
                                <a:chOff x="0" y="0"/>
                                <a:chExt cx="548640" cy="9525"/>
                              </a:xfrm>
                            </wpg:grpSpPr>
                            <wps:wsp>
                              <wps:cNvPr id="2182" name="Shape 2182"/>
                              <wps:cNvSpPr/>
                              <wps:spPr>
                                <a:xfrm>
                                  <a:off x="0" y="0"/>
                                  <a:ext cx="548640" cy="0"/>
                                </a:xfrm>
                                <a:custGeom>
                                  <a:avLst/>
                                  <a:gdLst/>
                                  <a:ahLst/>
                                  <a:cxnLst/>
                                  <a:rect l="0" t="0" r="0" b="0"/>
                                  <a:pathLst>
                                    <a:path w="548640">
                                      <a:moveTo>
                                        <a:pt x="0" y="0"/>
                                      </a:moveTo>
                                      <a:lnTo>
                                        <a:pt x="548640" y="0"/>
                                      </a:lnTo>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3227" style="width:43.2pt;height:0.75pt;mso-position-horizontal-relative:char;mso-position-vertical-relative:line" coordsize="5486,95">
                      <v:shape id="Shape 2182" style="position:absolute;width:5486;height:0;left:0;top:0;" coordsize="548640,0" path="m0,0l548640,0">
                        <v:stroke weight="0.75pt" endcap="round" joinstyle="round" on="true" color="#000000"/>
                        <v:fill on="false" color="#000000" opacity="0"/>
                      </v:shape>
                    </v:group>
                  </w:pict>
                </mc:Fallback>
              </mc:AlternateContent>
            </w:r>
          </w:p>
        </w:tc>
      </w:tr>
      <w:tr w:rsidR="00D0456E">
        <w:tblPrEx>
          <w:tblCellMar>
            <w:top w:w="0" w:type="dxa"/>
            <w:bottom w:w="0" w:type="dxa"/>
            <w:right w:w="0" w:type="dxa"/>
          </w:tblCellMar>
        </w:tblPrEx>
        <w:trPr>
          <w:gridBefore w:val="1"/>
          <w:gridAfter w:val="1"/>
          <w:wBefore w:w="108" w:type="dxa"/>
          <w:wAfter w:w="180" w:type="dxa"/>
          <w:trHeight w:val="972"/>
        </w:trPr>
        <w:tc>
          <w:tcPr>
            <w:tcW w:w="2645" w:type="dxa"/>
            <w:tcBorders>
              <w:top w:val="nil"/>
              <w:left w:val="nil"/>
              <w:bottom w:val="nil"/>
              <w:right w:val="nil"/>
            </w:tcBorders>
          </w:tcPr>
          <w:p w:rsidR="00D0456E" w:rsidRDefault="00927C2A">
            <w:pPr>
              <w:spacing w:after="0" w:line="259" w:lineRule="auto"/>
              <w:ind w:left="0" w:firstLine="0"/>
              <w:jc w:val="left"/>
            </w:pPr>
            <w:r>
              <w:rPr>
                <w:b/>
              </w:rPr>
              <w:t xml:space="preserve">       Taxable Income</w:t>
            </w:r>
            <w:r>
              <w:t xml:space="preserve"> </w:t>
            </w:r>
          </w:p>
          <w:p w:rsidR="00D0456E" w:rsidRDefault="00927C2A">
            <w:pPr>
              <w:spacing w:after="0" w:line="259" w:lineRule="auto"/>
              <w:ind w:left="0" w:firstLine="0"/>
              <w:jc w:val="left"/>
            </w:pPr>
            <w:r>
              <w:t xml:space="preserve"> </w:t>
            </w:r>
          </w:p>
          <w:p w:rsidR="00D0456E" w:rsidRDefault="00927C2A">
            <w:pPr>
              <w:spacing w:after="0" w:line="259" w:lineRule="auto"/>
              <w:ind w:left="0" w:firstLine="0"/>
              <w:jc w:val="left"/>
            </w:pPr>
            <w:r>
              <w:t xml:space="preserve">NOTES </w:t>
            </w:r>
          </w:p>
          <w:p w:rsidR="00D0456E" w:rsidRDefault="00927C2A">
            <w:pPr>
              <w:spacing w:after="0" w:line="259" w:lineRule="auto"/>
              <w:ind w:left="0" w:firstLine="0"/>
              <w:jc w:val="left"/>
            </w:pPr>
            <w:r>
              <w:t xml:space="preserve">† Matching Rule </w:t>
            </w:r>
          </w:p>
        </w:tc>
        <w:tc>
          <w:tcPr>
            <w:tcW w:w="1336" w:type="dxa"/>
            <w:tcBorders>
              <w:top w:val="nil"/>
              <w:left w:val="nil"/>
              <w:bottom w:val="nil"/>
              <w:right w:val="nil"/>
            </w:tcBorders>
          </w:tcPr>
          <w:p w:rsidR="00D0456E" w:rsidRDefault="00D0456E">
            <w:pPr>
              <w:spacing w:after="160" w:line="259" w:lineRule="auto"/>
              <w:ind w:left="0" w:firstLine="0"/>
              <w:jc w:val="left"/>
            </w:pPr>
          </w:p>
        </w:tc>
        <w:tc>
          <w:tcPr>
            <w:tcW w:w="2863" w:type="dxa"/>
            <w:gridSpan w:val="2"/>
            <w:tcBorders>
              <w:top w:val="nil"/>
              <w:left w:val="nil"/>
              <w:bottom w:val="nil"/>
              <w:right w:val="nil"/>
            </w:tcBorders>
          </w:tcPr>
          <w:p w:rsidR="00D0456E" w:rsidRDefault="00D0456E">
            <w:pPr>
              <w:spacing w:after="160" w:line="259" w:lineRule="auto"/>
              <w:ind w:left="0" w:firstLine="0"/>
              <w:jc w:val="left"/>
            </w:pPr>
          </w:p>
        </w:tc>
        <w:tc>
          <w:tcPr>
            <w:tcW w:w="236" w:type="dxa"/>
            <w:tcBorders>
              <w:top w:val="nil"/>
              <w:left w:val="nil"/>
              <w:bottom w:val="nil"/>
              <w:right w:val="nil"/>
            </w:tcBorders>
          </w:tcPr>
          <w:p w:rsidR="00D0456E" w:rsidRDefault="00927C2A">
            <w:pPr>
              <w:spacing w:after="0" w:line="226" w:lineRule="auto"/>
              <w:ind w:left="0" w:right="181" w:firstLine="0"/>
            </w:pPr>
            <w:r>
              <w:t xml:space="preserve">   </w:t>
            </w:r>
          </w:p>
          <w:p w:rsidR="00D0456E" w:rsidRDefault="00927C2A">
            <w:pPr>
              <w:spacing w:after="0" w:line="259" w:lineRule="auto"/>
              <w:ind w:left="1" w:firstLine="0"/>
              <w:jc w:val="left"/>
            </w:pPr>
            <w:r>
              <w:t xml:space="preserve"> </w:t>
            </w:r>
          </w:p>
        </w:tc>
        <w:tc>
          <w:tcPr>
            <w:tcW w:w="1042" w:type="dxa"/>
            <w:tcBorders>
              <w:top w:val="nil"/>
              <w:left w:val="nil"/>
              <w:bottom w:val="nil"/>
              <w:right w:val="nil"/>
            </w:tcBorders>
          </w:tcPr>
          <w:p w:rsidR="00D0456E" w:rsidRDefault="00927C2A">
            <w:pPr>
              <w:spacing w:after="0" w:line="259" w:lineRule="auto"/>
              <w:ind w:left="0" w:right="1" w:firstLine="0"/>
              <w:jc w:val="right"/>
            </w:pPr>
            <w:r>
              <w:rPr>
                <w:b/>
                <w:u w:val="single" w:color="000000"/>
              </w:rPr>
              <w:t>$200,000</w:t>
            </w:r>
          </w:p>
          <w:p w:rsidR="00D0456E" w:rsidRDefault="00927C2A">
            <w:pPr>
              <w:spacing w:after="0" w:line="259" w:lineRule="auto"/>
              <w:ind w:left="168" w:firstLine="0"/>
              <w:jc w:val="left"/>
            </w:pPr>
            <w:r>
              <w:rPr>
                <w:rFonts w:ascii="Calibri" w:eastAsia="Calibri" w:hAnsi="Calibri" w:cs="Calibri"/>
                <w:noProof/>
              </w:rPr>
              <mc:AlternateContent>
                <mc:Choice Requires="wpg">
                  <w:drawing>
                    <wp:inline distT="0" distB="0" distL="0" distR="0">
                      <wp:extent cx="548640" cy="9525"/>
                      <wp:effectExtent l="0" t="0" r="0" b="0"/>
                      <wp:docPr id="43397" name="Group 43397"/>
                      <wp:cNvGraphicFramePr/>
                      <a:graphic xmlns:a="http://schemas.openxmlformats.org/drawingml/2006/main">
                        <a:graphicData uri="http://schemas.microsoft.com/office/word/2010/wordprocessingGroup">
                          <wpg:wgp>
                            <wpg:cNvGrpSpPr/>
                            <wpg:grpSpPr>
                              <a:xfrm>
                                <a:off x="0" y="0"/>
                                <a:ext cx="548640" cy="9525"/>
                                <a:chOff x="0" y="0"/>
                                <a:chExt cx="548640" cy="9525"/>
                              </a:xfrm>
                            </wpg:grpSpPr>
                            <wps:wsp>
                              <wps:cNvPr id="2184" name="Shape 2184"/>
                              <wps:cNvSpPr/>
                              <wps:spPr>
                                <a:xfrm>
                                  <a:off x="0" y="0"/>
                                  <a:ext cx="548640" cy="0"/>
                                </a:xfrm>
                                <a:custGeom>
                                  <a:avLst/>
                                  <a:gdLst/>
                                  <a:ahLst/>
                                  <a:cxnLst/>
                                  <a:rect l="0" t="0" r="0" b="0"/>
                                  <a:pathLst>
                                    <a:path w="548640">
                                      <a:moveTo>
                                        <a:pt x="0" y="0"/>
                                      </a:moveTo>
                                      <a:lnTo>
                                        <a:pt x="548640" y="0"/>
                                      </a:lnTo>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3397" style="width:43.2pt;height:0.75pt;mso-position-horizontal-relative:char;mso-position-vertical-relative:line" coordsize="5486,95">
                      <v:shape id="Shape 2184" style="position:absolute;width:5486;height:0;left:0;top:0;" coordsize="548640,0" path="m0,0l548640,0">
                        <v:stroke weight="0.75pt" endcap="round" joinstyle="round" on="true" color="#000000"/>
                        <v:fill on="false" color="#000000" opacity="0"/>
                      </v:shape>
                    </v:group>
                  </w:pict>
                </mc:Fallback>
              </mc:AlternateContent>
            </w:r>
          </w:p>
        </w:tc>
      </w:tr>
    </w:tbl>
    <w:p w:rsidR="00D0456E" w:rsidRDefault="00927C2A">
      <w:pPr>
        <w:spacing w:after="239" w:line="259" w:lineRule="auto"/>
        <w:ind w:left="1426" w:right="-73" w:firstLine="0"/>
        <w:jc w:val="left"/>
      </w:pPr>
      <w:r>
        <w:rPr>
          <w:rFonts w:ascii="Calibri" w:eastAsia="Calibri" w:hAnsi="Calibri" w:cs="Calibri"/>
          <w:noProof/>
        </w:rPr>
        <mc:AlternateContent>
          <mc:Choice Requires="wpg">
            <w:drawing>
              <wp:inline distT="0" distB="0" distL="0" distR="0">
                <wp:extent cx="5349240" cy="6096"/>
                <wp:effectExtent l="0" t="0" r="0" b="0"/>
                <wp:docPr id="41129" name="Group 41129"/>
                <wp:cNvGraphicFramePr/>
                <a:graphic xmlns:a="http://schemas.openxmlformats.org/drawingml/2006/main">
                  <a:graphicData uri="http://schemas.microsoft.com/office/word/2010/wordprocessingGroup">
                    <wpg:wgp>
                      <wpg:cNvGrpSpPr/>
                      <wpg:grpSpPr>
                        <a:xfrm>
                          <a:off x="0" y="0"/>
                          <a:ext cx="5349240" cy="6096"/>
                          <a:chOff x="0" y="0"/>
                          <a:chExt cx="5349240" cy="6096"/>
                        </a:xfrm>
                      </wpg:grpSpPr>
                      <wps:wsp>
                        <wps:cNvPr id="46423" name="Shape 46423"/>
                        <wps:cNvSpPr/>
                        <wps:spPr>
                          <a:xfrm>
                            <a:off x="0" y="0"/>
                            <a:ext cx="1655064" cy="9144"/>
                          </a:xfrm>
                          <a:custGeom>
                            <a:avLst/>
                            <a:gdLst/>
                            <a:ahLst/>
                            <a:cxnLst/>
                            <a:rect l="0" t="0" r="0" b="0"/>
                            <a:pathLst>
                              <a:path w="1655064" h="9144">
                                <a:moveTo>
                                  <a:pt x="0" y="0"/>
                                </a:moveTo>
                                <a:lnTo>
                                  <a:pt x="1655064" y="0"/>
                                </a:lnTo>
                                <a:lnTo>
                                  <a:pt x="16550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424" name="Shape 46424"/>
                        <wps:cNvSpPr/>
                        <wps:spPr>
                          <a:xfrm>
                            <a:off x="1645920" y="0"/>
                            <a:ext cx="740664" cy="9144"/>
                          </a:xfrm>
                          <a:custGeom>
                            <a:avLst/>
                            <a:gdLst/>
                            <a:ahLst/>
                            <a:cxnLst/>
                            <a:rect l="0" t="0" r="0" b="0"/>
                            <a:pathLst>
                              <a:path w="740664" h="9144">
                                <a:moveTo>
                                  <a:pt x="0" y="0"/>
                                </a:moveTo>
                                <a:lnTo>
                                  <a:pt x="740664" y="0"/>
                                </a:lnTo>
                                <a:lnTo>
                                  <a:pt x="7406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425" name="Shape 46425"/>
                        <wps:cNvSpPr/>
                        <wps:spPr>
                          <a:xfrm>
                            <a:off x="2377440" y="0"/>
                            <a:ext cx="159258" cy="9144"/>
                          </a:xfrm>
                          <a:custGeom>
                            <a:avLst/>
                            <a:gdLst/>
                            <a:ahLst/>
                            <a:cxnLst/>
                            <a:rect l="0" t="0" r="0" b="0"/>
                            <a:pathLst>
                              <a:path w="159258" h="9144">
                                <a:moveTo>
                                  <a:pt x="0" y="0"/>
                                </a:moveTo>
                                <a:lnTo>
                                  <a:pt x="159258" y="0"/>
                                </a:lnTo>
                                <a:lnTo>
                                  <a:pt x="1592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426" name="Shape 46426"/>
                        <wps:cNvSpPr/>
                        <wps:spPr>
                          <a:xfrm>
                            <a:off x="2527554" y="0"/>
                            <a:ext cx="1827276" cy="9144"/>
                          </a:xfrm>
                          <a:custGeom>
                            <a:avLst/>
                            <a:gdLst/>
                            <a:ahLst/>
                            <a:cxnLst/>
                            <a:rect l="0" t="0" r="0" b="0"/>
                            <a:pathLst>
                              <a:path w="1827276" h="9144">
                                <a:moveTo>
                                  <a:pt x="0" y="0"/>
                                </a:moveTo>
                                <a:lnTo>
                                  <a:pt x="1827276" y="0"/>
                                </a:lnTo>
                                <a:lnTo>
                                  <a:pt x="182727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427" name="Shape 46427"/>
                        <wps:cNvSpPr/>
                        <wps:spPr>
                          <a:xfrm>
                            <a:off x="4345686" y="0"/>
                            <a:ext cx="159258" cy="9144"/>
                          </a:xfrm>
                          <a:custGeom>
                            <a:avLst/>
                            <a:gdLst/>
                            <a:ahLst/>
                            <a:cxnLst/>
                            <a:rect l="0" t="0" r="0" b="0"/>
                            <a:pathLst>
                              <a:path w="159258" h="9144">
                                <a:moveTo>
                                  <a:pt x="0" y="0"/>
                                </a:moveTo>
                                <a:lnTo>
                                  <a:pt x="159258" y="0"/>
                                </a:lnTo>
                                <a:lnTo>
                                  <a:pt x="1592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428" name="Shape 46428"/>
                        <wps:cNvSpPr/>
                        <wps:spPr>
                          <a:xfrm>
                            <a:off x="4495800" y="0"/>
                            <a:ext cx="853440" cy="9144"/>
                          </a:xfrm>
                          <a:custGeom>
                            <a:avLst/>
                            <a:gdLst/>
                            <a:ahLst/>
                            <a:cxnLst/>
                            <a:rect l="0" t="0" r="0" b="0"/>
                            <a:pathLst>
                              <a:path w="853440" h="9144">
                                <a:moveTo>
                                  <a:pt x="0" y="0"/>
                                </a:moveTo>
                                <a:lnTo>
                                  <a:pt x="853440" y="0"/>
                                </a:lnTo>
                                <a:lnTo>
                                  <a:pt x="8534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1129" style="width:421.2pt;height:0.47998pt;mso-position-horizontal-relative:char;mso-position-vertical-relative:line" coordsize="53492,60">
                <v:shape id="Shape 46429" style="position:absolute;width:16550;height:91;left:0;top:0;" coordsize="1655064,9144" path="m0,0l1655064,0l1655064,9144l0,9144l0,0">
                  <v:stroke weight="0pt" endcap="flat" joinstyle="miter" miterlimit="10" on="false" color="#000000" opacity="0"/>
                  <v:fill on="true" color="#000000"/>
                </v:shape>
                <v:shape id="Shape 46430" style="position:absolute;width:7406;height:91;left:16459;top:0;" coordsize="740664,9144" path="m0,0l740664,0l740664,9144l0,9144l0,0">
                  <v:stroke weight="0pt" endcap="flat" joinstyle="miter" miterlimit="10" on="false" color="#000000" opacity="0"/>
                  <v:fill on="true" color="#000000"/>
                </v:shape>
                <v:shape id="Shape 46431" style="position:absolute;width:1592;height:91;left:23774;top:0;" coordsize="159258,9144" path="m0,0l159258,0l159258,9144l0,9144l0,0">
                  <v:stroke weight="0pt" endcap="flat" joinstyle="miter" miterlimit="10" on="false" color="#000000" opacity="0"/>
                  <v:fill on="true" color="#000000"/>
                </v:shape>
                <v:shape id="Shape 46432" style="position:absolute;width:18272;height:91;left:25275;top:0;" coordsize="1827276,9144" path="m0,0l1827276,0l1827276,9144l0,9144l0,0">
                  <v:stroke weight="0pt" endcap="flat" joinstyle="miter" miterlimit="10" on="false" color="#000000" opacity="0"/>
                  <v:fill on="true" color="#000000"/>
                </v:shape>
                <v:shape id="Shape 46433" style="position:absolute;width:1592;height:91;left:43456;top:0;" coordsize="159258,9144" path="m0,0l159258,0l159258,9144l0,9144l0,0">
                  <v:stroke weight="0pt" endcap="flat" joinstyle="miter" miterlimit="10" on="false" color="#000000" opacity="0"/>
                  <v:fill on="true" color="#000000"/>
                </v:shape>
                <v:shape id="Shape 46434" style="position:absolute;width:8534;height:91;left:44958;top:0;" coordsize="853440,9144" path="m0,0l853440,0l853440,9144l0,9144l0,0">
                  <v:stroke weight="0pt" endcap="flat" joinstyle="miter" miterlimit="10" on="false" color="#000000" opacity="0"/>
                  <v:fill on="true" color="#000000"/>
                </v:shape>
              </v:group>
            </w:pict>
          </mc:Fallback>
        </mc:AlternateContent>
      </w:r>
    </w:p>
    <w:p w:rsidR="00D0456E" w:rsidRDefault="00927C2A">
      <w:pPr>
        <w:numPr>
          <w:ilvl w:val="1"/>
          <w:numId w:val="16"/>
        </w:numPr>
        <w:spacing w:after="221"/>
        <w:ind w:right="43" w:hanging="720"/>
      </w:pPr>
      <w:r>
        <w:t xml:space="preserve">Present value of the tax on the sale of the land, as deferred for 5 years = $60,000 deferred gain × 35% tax rate = $21,000 tax liability × .822 PV factor = $17,262. </w:t>
      </w:r>
    </w:p>
    <w:p w:rsidR="00D0456E" w:rsidRDefault="00927C2A">
      <w:pPr>
        <w:ind w:left="1450" w:right="43"/>
      </w:pPr>
      <w:r>
        <w:t xml:space="preserve">Tax benefit to the group from the deferral of the gain = $21,000 tax if due for year 1 – $17,262 tax if due for year 5 = $3,738. </w:t>
      </w:r>
    </w:p>
    <w:p w:rsidR="00D0456E" w:rsidRDefault="00927C2A">
      <w:pPr>
        <w:spacing w:after="0" w:line="259" w:lineRule="auto"/>
        <w:ind w:left="0" w:firstLine="0"/>
        <w:jc w:val="left"/>
      </w:pPr>
      <w:r>
        <w:rPr>
          <w:b/>
        </w:rPr>
        <w:t xml:space="preserve"> </w:t>
      </w:r>
      <w:r>
        <w:rPr>
          <w:b/>
        </w:rPr>
        <w:tab/>
        <w:t xml:space="preserve"> </w:t>
      </w:r>
    </w:p>
    <w:p w:rsidR="00D0456E" w:rsidRDefault="00927C2A">
      <w:pPr>
        <w:pStyle w:val="Heading1"/>
        <w:spacing w:after="193"/>
        <w:ind w:left="-5"/>
      </w:pPr>
      <w:r>
        <w:t xml:space="preserve">RESEARCH PROBLEMS </w:t>
      </w:r>
    </w:p>
    <w:p w:rsidR="00D0456E" w:rsidRDefault="00927C2A">
      <w:pPr>
        <w:tabs>
          <w:tab w:val="center" w:pos="1213"/>
          <w:tab w:val="center" w:pos="3194"/>
        </w:tabs>
        <w:ind w:left="0" w:firstLine="0"/>
        <w:jc w:val="left"/>
      </w:pPr>
      <w:r>
        <w:rPr>
          <w:rFonts w:ascii="Calibri" w:eastAsia="Calibri" w:hAnsi="Calibri" w:cs="Calibri"/>
        </w:rPr>
        <w:tab/>
      </w:r>
      <w:r>
        <w:t xml:space="preserve">1. </w:t>
      </w:r>
      <w:r>
        <w:tab/>
        <w:t xml:space="preserve">TAX FILE MEMORANDUM </w:t>
      </w:r>
    </w:p>
    <w:p w:rsidR="00D0456E" w:rsidRDefault="00927C2A">
      <w:pPr>
        <w:spacing w:after="0" w:line="259" w:lineRule="auto"/>
        <w:ind w:left="0" w:firstLine="0"/>
        <w:jc w:val="left"/>
      </w:pPr>
      <w:r>
        <w:t xml:space="preserve"> </w:t>
      </w:r>
    </w:p>
    <w:p w:rsidR="00D0456E" w:rsidRDefault="00927C2A">
      <w:pPr>
        <w:ind w:left="715" w:right="43"/>
      </w:pPr>
      <w:r>
        <w:t xml:space="preserve">November 3, 2018 </w:t>
      </w:r>
    </w:p>
    <w:p w:rsidR="00D0456E" w:rsidRDefault="00927C2A">
      <w:pPr>
        <w:spacing w:after="0" w:line="259" w:lineRule="auto"/>
        <w:ind w:left="720" w:firstLine="0"/>
        <w:jc w:val="left"/>
      </w:pPr>
      <w:r>
        <w:t xml:space="preserve"> </w:t>
      </w:r>
    </w:p>
    <w:p w:rsidR="00D0456E" w:rsidRDefault="00927C2A">
      <w:pPr>
        <w:tabs>
          <w:tab w:val="center" w:pos="2003"/>
          <w:tab w:val="center" w:pos="3977"/>
        </w:tabs>
        <w:ind w:left="0" w:firstLine="0"/>
        <w:jc w:val="left"/>
      </w:pPr>
      <w:r>
        <w:rPr>
          <w:rFonts w:ascii="Calibri" w:eastAsia="Calibri" w:hAnsi="Calibri" w:cs="Calibri"/>
        </w:rPr>
        <w:tab/>
      </w:r>
      <w:r>
        <w:t xml:space="preserve">To: </w:t>
      </w:r>
      <w:r>
        <w:tab/>
        <w:t xml:space="preserve">Lynne E. Schoenfeldt </w:t>
      </w:r>
    </w:p>
    <w:p w:rsidR="00D0456E" w:rsidRDefault="00927C2A">
      <w:pPr>
        <w:tabs>
          <w:tab w:val="center" w:pos="1850"/>
          <w:tab w:val="center" w:pos="4225"/>
        </w:tabs>
        <w:ind w:left="0" w:firstLine="0"/>
        <w:jc w:val="left"/>
      </w:pPr>
      <w:r>
        <w:rPr>
          <w:rFonts w:ascii="Calibri" w:eastAsia="Calibri" w:hAnsi="Calibri" w:cs="Calibri"/>
        </w:rPr>
        <w:tab/>
      </w:r>
      <w:r>
        <w:t xml:space="preserve">  </w:t>
      </w:r>
      <w:r>
        <w:tab/>
        <w:t>Tax Director, Heron Gro</w:t>
      </w:r>
      <w:r>
        <w:t xml:space="preserve">up </w:t>
      </w:r>
    </w:p>
    <w:p w:rsidR="00D0456E" w:rsidRDefault="00927C2A">
      <w:pPr>
        <w:spacing w:after="0" w:line="259" w:lineRule="auto"/>
        <w:ind w:left="720" w:firstLine="0"/>
        <w:jc w:val="left"/>
      </w:pPr>
      <w:r>
        <w:t xml:space="preserve"> </w:t>
      </w:r>
    </w:p>
    <w:p w:rsidR="00D0456E" w:rsidRDefault="00927C2A">
      <w:pPr>
        <w:tabs>
          <w:tab w:val="center" w:pos="2211"/>
          <w:tab w:val="center" w:pos="5828"/>
        </w:tabs>
        <w:ind w:left="0" w:firstLine="0"/>
        <w:jc w:val="left"/>
      </w:pPr>
      <w:r>
        <w:rPr>
          <w:rFonts w:ascii="Calibri" w:eastAsia="Calibri" w:hAnsi="Calibri" w:cs="Calibri"/>
        </w:rPr>
        <w:tab/>
      </w:r>
      <w:r>
        <w:t xml:space="preserve">Subject: </w:t>
      </w:r>
      <w:r>
        <w:tab/>
        <w:t xml:space="preserve">Consolidated return, status of extension for election of affiliates </w:t>
      </w:r>
    </w:p>
    <w:p w:rsidR="00D0456E" w:rsidRDefault="00927C2A">
      <w:pPr>
        <w:spacing w:after="0" w:line="259" w:lineRule="auto"/>
        <w:ind w:left="720" w:firstLine="0"/>
        <w:jc w:val="left"/>
      </w:pPr>
      <w:r>
        <w:t xml:space="preserve"> </w:t>
      </w:r>
    </w:p>
    <w:p w:rsidR="00D0456E" w:rsidRDefault="00927C2A">
      <w:pPr>
        <w:spacing w:after="180"/>
        <w:ind w:left="715" w:right="43"/>
      </w:pPr>
      <w:r>
        <w:t>All members of a new consolidated group must consent to an election to file a consolidated tax return by filing a Form 1122 with the first consolidated return of the new group. Lacking such consents, the entities must file separate returns. Reg. §§ 1.1502–</w:t>
      </w:r>
      <w:r>
        <w:t xml:space="preserve">75(a)(1), –75(b)(3), –75(h)(2). </w:t>
      </w:r>
    </w:p>
    <w:p w:rsidR="00D0456E" w:rsidRDefault="00927C2A">
      <w:pPr>
        <w:ind w:left="715" w:right="43"/>
      </w:pPr>
      <w:r>
        <w:t>The Regulations allow the Commissioner to consider an election to have been made if, given all the facts and circumstances, a member of an affiliated group has joined in the making of a consolidated return (i.e., by properl</w:t>
      </w:r>
      <w:r>
        <w:t>y including its income and deductions in a consolidated return and not filing a separate return [Reg § 1.1502–75(b)(2)] or if the failure to file Form 1122 was inadvertent [Reg. § 1.1502–75(b)(3)]. Further, the IRS can grant an extension of this filing req</w:t>
      </w:r>
      <w:r>
        <w:t xml:space="preserve">uirement for up to six months, where the taxpayer has acted reasonably and in good faith. Reg. §§ 301.9100–1 and –3. </w:t>
      </w:r>
    </w:p>
    <w:p w:rsidR="00D0456E" w:rsidRDefault="00927C2A">
      <w:pPr>
        <w:spacing w:after="0" w:line="259" w:lineRule="auto"/>
        <w:ind w:left="720" w:firstLine="0"/>
        <w:jc w:val="left"/>
      </w:pPr>
      <w:r>
        <w:t xml:space="preserve"> </w:t>
      </w:r>
    </w:p>
    <w:p w:rsidR="00D0456E" w:rsidRDefault="00927C2A">
      <w:pPr>
        <w:ind w:left="715" w:right="43"/>
      </w:pPr>
      <w:r>
        <w:t>In PLR 9837020 (9/11/98), the taxpayer was in a position similar to that of the Heron Group. It recognized and admitted its mistake in applying for an extension of the election date. The IRS recognized that the group had acted in good faith in applying for</w:t>
      </w:r>
      <w:r>
        <w:t xml:space="preserve"> the extension, but more importantly, it had acted as though a consolidated election already were in place, by computing consolidated taxable income in an appropriate manner. </w:t>
      </w:r>
    </w:p>
    <w:p w:rsidR="00D0456E" w:rsidRDefault="00927C2A">
      <w:pPr>
        <w:spacing w:after="0" w:line="259" w:lineRule="auto"/>
        <w:ind w:left="720" w:firstLine="0"/>
        <w:jc w:val="left"/>
      </w:pPr>
      <w:r>
        <w:t xml:space="preserve"> </w:t>
      </w:r>
    </w:p>
    <w:p w:rsidR="00D0456E" w:rsidRDefault="00927C2A">
      <w:pPr>
        <w:ind w:left="715" w:right="43"/>
      </w:pPr>
      <w:r>
        <w:t>A 30-day extension was granted, from the issuance date of the letter ruling, t</w:t>
      </w:r>
      <w:r>
        <w:t xml:space="preserve">o execute a belated set of consents to document the creation of the new consolidated group.  </w:t>
      </w:r>
    </w:p>
    <w:p w:rsidR="00D0456E" w:rsidRDefault="00927C2A">
      <w:pPr>
        <w:spacing w:after="0" w:line="259" w:lineRule="auto"/>
        <w:ind w:left="720" w:firstLine="0"/>
        <w:jc w:val="left"/>
      </w:pPr>
      <w:r>
        <w:t xml:space="preserve"> </w:t>
      </w:r>
    </w:p>
    <w:p w:rsidR="00D0456E" w:rsidRDefault="00927C2A">
      <w:pPr>
        <w:ind w:left="715" w:right="43"/>
      </w:pPr>
      <w:r>
        <w:t xml:space="preserve">Similar relief was granted by the IRS in PLR 200435014 (8/27/04), where the subsidiaries’ tax directors were confused as to the dates upon which the affiliated </w:t>
      </w:r>
      <w:r>
        <w:t>group rules were met. In PLR 200418033 (4/29/04), IRS relief was granted regarding an LLC that elected to be treated as a corporation so that it could join the consolidated group. The IRS granted relief in PLR 201220018 (5/18/2012), where membership change</w:t>
      </w:r>
      <w:r>
        <w:t>s occurred and a Form 1122 did not accompany the short-year Form 1120 for the new group’s first tax year. In PLR 201232015 (8/10/2012), the taxpayer did not even provide a rationale for why the Form 1122 had not been included, it just asked for (and receiv</w:t>
      </w:r>
      <w:r>
        <w:t xml:space="preserve">ed) IRS relief. </w:t>
      </w:r>
    </w:p>
    <w:p w:rsidR="00D0456E" w:rsidRDefault="00927C2A">
      <w:pPr>
        <w:spacing w:after="0" w:line="259" w:lineRule="auto"/>
        <w:ind w:left="720" w:firstLine="0"/>
        <w:jc w:val="left"/>
      </w:pPr>
      <w:r>
        <w:t xml:space="preserve"> </w:t>
      </w:r>
    </w:p>
    <w:p w:rsidR="00D0456E" w:rsidRDefault="00927C2A">
      <w:pPr>
        <w:ind w:left="715" w:right="43"/>
      </w:pPr>
      <w:r>
        <w:t xml:space="preserve">In each of the above cases, the parent computed the consolidated tax and taxable income correctly, and it included a correct Form 851 Affiliations Schedule with the return. </w:t>
      </w:r>
    </w:p>
    <w:p w:rsidR="00D0456E" w:rsidRDefault="00927C2A">
      <w:pPr>
        <w:spacing w:after="0" w:line="259" w:lineRule="auto"/>
        <w:ind w:left="720" w:firstLine="0"/>
        <w:jc w:val="left"/>
      </w:pPr>
      <w:r>
        <w:t xml:space="preserve"> </w:t>
      </w:r>
    </w:p>
    <w:p w:rsidR="00D0456E" w:rsidRDefault="00927C2A">
      <w:pPr>
        <w:ind w:left="715" w:right="43"/>
      </w:pPr>
      <w:r>
        <w:t>As the Heron Group appropriately included the income and dedu</w:t>
      </w:r>
      <w:r>
        <w:t>ctions of Cardinal and Swallow in a timely-filed consolidated return, the Regulations under § 1502 allow the IRS to consider Form 1120 filed. Similarly, Reg. §§ 301.9100–1 and –3 allow the IRS to grant an extension of the filing requirement. Based on prior</w:t>
      </w:r>
      <w:r>
        <w:t xml:space="preserve"> rulings, it would seem that the IRS may be willing to consider the election made, or to grant the extension, given the circumstances  </w:t>
      </w:r>
    </w:p>
    <w:p w:rsidR="00D0456E" w:rsidRDefault="00927C2A">
      <w:pPr>
        <w:spacing w:after="0" w:line="262" w:lineRule="auto"/>
        <w:ind w:left="0" w:right="6842" w:firstLine="0"/>
        <w:jc w:val="left"/>
      </w:pPr>
      <w:r>
        <w:t xml:space="preserve">  </w:t>
      </w:r>
      <w:r>
        <w:tab/>
        <w:t xml:space="preserve"> </w:t>
      </w:r>
    </w:p>
    <w:p w:rsidR="00D0456E" w:rsidRDefault="00927C2A">
      <w:pPr>
        <w:tabs>
          <w:tab w:val="center" w:pos="1772"/>
        </w:tabs>
        <w:spacing w:after="122"/>
        <w:ind w:left="0" w:firstLine="0"/>
        <w:jc w:val="left"/>
      </w:pPr>
      <w:r>
        <w:t xml:space="preserve">2. </w:t>
      </w:r>
      <w:r>
        <w:tab/>
        <w:t xml:space="preserve">LETTER TO CLIENT </w:t>
      </w:r>
    </w:p>
    <w:p w:rsidR="00D0456E" w:rsidRDefault="00927C2A">
      <w:pPr>
        <w:spacing w:after="117"/>
        <w:ind w:left="715" w:right="43"/>
      </w:pPr>
      <w:r>
        <w:t xml:space="preserve">November 16, 2017 </w:t>
      </w:r>
    </w:p>
    <w:p w:rsidR="00D0456E" w:rsidRDefault="00927C2A">
      <w:pPr>
        <w:ind w:left="715" w:right="43"/>
      </w:pPr>
      <w:r>
        <w:t xml:space="preserve">Mary Ellen Rogers </w:t>
      </w:r>
    </w:p>
    <w:p w:rsidR="00D0456E" w:rsidRDefault="00927C2A">
      <w:pPr>
        <w:ind w:left="715" w:right="43"/>
      </w:pPr>
      <w:r>
        <w:t xml:space="preserve">Cutlinger Corporation </w:t>
      </w:r>
    </w:p>
    <w:p w:rsidR="00D0456E" w:rsidRDefault="00927C2A">
      <w:pPr>
        <w:spacing w:after="92" w:line="248" w:lineRule="auto"/>
        <w:ind w:left="730" w:right="6957"/>
        <w:jc w:val="left"/>
      </w:pPr>
      <w:r>
        <w:t xml:space="preserve">1101 Office Strip Lane, Suite 3 Hudson, OH 44237 Dear Mary Ellen:  </w:t>
      </w:r>
    </w:p>
    <w:p w:rsidR="00D0456E" w:rsidRDefault="00927C2A">
      <w:pPr>
        <w:spacing w:after="138"/>
        <w:ind w:left="715" w:right="718"/>
      </w:pPr>
      <w:r>
        <w:t>It was good to see you at our firm’s golf outing last week. I wish your company continued success. Thank you for asking me about your issue as to the deduction for cleaning up the environm</w:t>
      </w:r>
      <w:r>
        <w:t xml:space="preserve">ental damage during the EarthTones years. </w:t>
      </w:r>
    </w:p>
    <w:p w:rsidR="00D0456E" w:rsidRDefault="00927C2A">
      <w:pPr>
        <w:spacing w:after="140"/>
        <w:ind w:left="715" w:right="43"/>
      </w:pPr>
      <w:r>
        <w:t xml:space="preserve">My analysis of your situation follows that of the IRS, as confirmed in </w:t>
      </w:r>
      <w:r>
        <w:rPr>
          <w:i/>
        </w:rPr>
        <w:t>Thrifty Oil Co</w:t>
      </w:r>
      <w:r>
        <w:t xml:space="preserve">., 139 TC 198 (2012). I believe that you cannot claim a deduction for the environmental remediation costs. </w:t>
      </w:r>
    </w:p>
    <w:p w:rsidR="00D0456E" w:rsidRDefault="00927C2A">
      <w:pPr>
        <w:spacing w:after="140"/>
        <w:ind w:left="715" w:right="716"/>
      </w:pPr>
      <w:r>
        <w:t>The Tax Court agreed</w:t>
      </w:r>
      <w:r>
        <w:t xml:space="preserve"> with the IRS’s interpretation that the taxpayer in </w:t>
      </w:r>
      <w:r>
        <w:rPr>
          <w:i/>
        </w:rPr>
        <w:t xml:space="preserve">Thrifty Oil </w:t>
      </w:r>
      <w:r>
        <w:t>should not be able to deduct the same loss twice. Under your facts, the IRS would take the position that the capital  loss deduction and the environmental clean-up expenditures represented the</w:t>
      </w:r>
      <w:r>
        <w:t xml:space="preserve"> same economic loss  (i.e., traceable to the damages that EarthTones caused in its fields). That loss of value, here of about $30 million, already was the cause of the drop in the EarthTones stock price. It was claimed in computing Cutlinger’s earlier capi</w:t>
      </w:r>
      <w:r>
        <w:t xml:space="preserve">tal loss, so it should not be allowed “again” as to the remediation costs, now that the clean-up actually has occurred. </w:t>
      </w:r>
    </w:p>
    <w:p w:rsidR="00D0456E" w:rsidRDefault="00927C2A">
      <w:pPr>
        <w:spacing w:after="101"/>
        <w:ind w:left="715" w:right="716"/>
      </w:pPr>
      <w:r>
        <w:rPr>
          <w:i/>
        </w:rPr>
        <w:t>Thrifty Oil</w:t>
      </w:r>
      <w:r>
        <w:t xml:space="preserve"> involved a more complex set of facts, including some related party transactions and a bankruptcy proceeding. However, the u</w:t>
      </w:r>
      <w:r>
        <w:t xml:space="preserve">nderlying argument of “one deduction per loss” was firmly stated by the Tax Court in the decision. </w:t>
      </w:r>
    </w:p>
    <w:p w:rsidR="00D0456E" w:rsidRDefault="00927C2A">
      <w:pPr>
        <w:spacing w:after="101"/>
        <w:ind w:left="715" w:right="718"/>
      </w:pPr>
      <w:r>
        <w:t xml:space="preserve">I’m happy to hear that issues related to the EarthTones investment are finally behind Cutlinger, and that the future of Golden West appears to be bright. I </w:t>
      </w:r>
      <w:r>
        <w:t xml:space="preserve">look forward to working with you going forward. </w:t>
      </w:r>
    </w:p>
    <w:p w:rsidR="00D0456E" w:rsidRDefault="00927C2A">
      <w:pPr>
        <w:spacing w:after="101"/>
        <w:ind w:left="715" w:right="716"/>
      </w:pPr>
      <w:r>
        <w:t xml:space="preserve">My comments are based on the information that you provided me concerning this tax matter. If those facts change in any material way, my comments may need to be revised. My tax advice for you is regulated by </w:t>
      </w:r>
      <w:r>
        <w:t xml:space="preserve">IRS Circular 230. </w:t>
      </w:r>
    </w:p>
    <w:p w:rsidR="00D0456E" w:rsidRDefault="00927C2A">
      <w:pPr>
        <w:spacing w:after="96"/>
        <w:ind w:left="715" w:right="43"/>
      </w:pPr>
      <w:r>
        <w:t xml:space="preserve">Sincerely, </w:t>
      </w:r>
    </w:p>
    <w:p w:rsidR="00D0456E" w:rsidRDefault="00927C2A">
      <w:pPr>
        <w:spacing w:after="101"/>
        <w:ind w:left="715" w:right="6755"/>
      </w:pPr>
      <w:r>
        <w:t xml:space="preserve">Wally Biever, Tax Partner Biever and Beall, CPAs </w:t>
      </w:r>
    </w:p>
    <w:p w:rsidR="00D0456E" w:rsidRDefault="00927C2A">
      <w:pPr>
        <w:spacing w:after="101"/>
        <w:ind w:left="720" w:right="717" w:hanging="720"/>
      </w:pPr>
      <w:r>
        <w:t>3. The joint-and-several rule allows the U.S. Treasury to collect the outstanding income taxes of one member of an electing Federal consolidated group from any other group mem</w:t>
      </w:r>
      <w:r>
        <w:t xml:space="preserve">ber, when necessary [Reg. § 1.1502–6(a)]. This rule applies to interest and penalties imposed as a result of IRS audits, as well as to the underlying tax liabilities. </w:t>
      </w:r>
    </w:p>
    <w:p w:rsidR="00D0456E" w:rsidRDefault="00927C2A">
      <w:pPr>
        <w:spacing w:after="141"/>
        <w:ind w:left="715" w:right="717"/>
      </w:pPr>
      <w:r>
        <w:t>However, the rule does not appear to apply to employment taxes. Chief Counsel Advice (CC</w:t>
      </w:r>
      <w:r>
        <w:t>A) 200913052 (3/09) acknowledged that a member’s employment tax obligations are its own, with no contribution required by any other affiliate. It should be noted, however, that the CCA addressed only a Federal unemployment tax obligation of a subsidiary. G</w:t>
      </w:r>
      <w:r>
        <w:t xml:space="preserve">raeter should determine whether similar protection is in place for the pertinent state. </w:t>
      </w:r>
    </w:p>
    <w:p w:rsidR="00D0456E" w:rsidRDefault="00927C2A">
      <w:pPr>
        <w:pStyle w:val="Heading1"/>
        <w:spacing w:after="126"/>
        <w:ind w:left="-5"/>
      </w:pPr>
      <w:r>
        <w:t xml:space="preserve">Research Problems 4 and 5 </w:t>
      </w:r>
    </w:p>
    <w:p w:rsidR="00D0456E" w:rsidRDefault="00927C2A">
      <w:pPr>
        <w:spacing w:after="0" w:line="226" w:lineRule="auto"/>
        <w:ind w:left="0" w:right="718" w:firstLine="0"/>
      </w:pPr>
      <w:r>
        <w:rPr>
          <w:i/>
        </w:rPr>
        <w:t>These research problems require that students utilize online resources to research and answer the questions. As a result, solutions may vary among students and courses. You should determine the skill and experience levels of the students before assigning t</w:t>
      </w:r>
      <w:r>
        <w:rPr>
          <w:i/>
        </w:rPr>
        <w:t>hese problems, coaching where necessary. Encourage students to use reliable websites and blogs of the IRS and other government agencies, media outlets, businesses, tax professionals, academics, think tanks, and political outlets to research their answers.</w:t>
      </w:r>
      <w:r>
        <w:rPr>
          <w:b/>
        </w:rPr>
        <w:t xml:space="preserve"> </w:t>
      </w:r>
      <w:r>
        <w:rPr>
          <w:b/>
        </w:rPr>
        <w:t xml:space="preserve"> </w:t>
      </w:r>
    </w:p>
    <w:p w:rsidR="00D0456E" w:rsidRDefault="00927C2A">
      <w:pPr>
        <w:pStyle w:val="Heading1"/>
        <w:ind w:left="-5"/>
      </w:pPr>
      <w:r>
        <w:t xml:space="preserve">CHECK FIGURES </w:t>
      </w:r>
    </w:p>
    <w:p w:rsidR="00D0456E" w:rsidRDefault="00D0456E">
      <w:pPr>
        <w:sectPr w:rsidR="00D0456E">
          <w:headerReference w:type="even" r:id="rId13"/>
          <w:headerReference w:type="default" r:id="rId14"/>
          <w:footerReference w:type="even" r:id="rId15"/>
          <w:footerReference w:type="default" r:id="rId16"/>
          <w:headerReference w:type="first" r:id="rId17"/>
          <w:footerReference w:type="first" r:id="rId18"/>
          <w:pgSz w:w="12240" w:h="15840"/>
          <w:pgMar w:top="1435" w:right="1797" w:bottom="1441" w:left="670" w:header="728" w:footer="724" w:gutter="0"/>
          <w:pgNumType w:start="2"/>
          <w:cols w:space="720"/>
        </w:sectPr>
      </w:pPr>
    </w:p>
    <w:p w:rsidR="00D0456E" w:rsidRDefault="00927C2A">
      <w:pPr>
        <w:spacing w:after="0" w:line="259" w:lineRule="auto"/>
        <w:ind w:left="0" w:firstLine="0"/>
        <w:jc w:val="left"/>
      </w:pPr>
      <w:r>
        <w:rPr>
          <w:rFonts w:ascii="Arial" w:eastAsia="Arial" w:hAnsi="Arial" w:cs="Arial"/>
        </w:rPr>
        <w:t xml:space="preserve"> </w:t>
      </w:r>
    </w:p>
    <w:p w:rsidR="00D0456E" w:rsidRDefault="00927C2A">
      <w:pPr>
        <w:numPr>
          <w:ilvl w:val="0"/>
          <w:numId w:val="17"/>
        </w:numPr>
        <w:ind w:right="43" w:hanging="720"/>
      </w:pPr>
      <w:r>
        <w:t xml:space="preserve">Consolidated TI $14,500. Sub3 liability $634. </w:t>
      </w:r>
    </w:p>
    <w:p w:rsidR="00D0456E" w:rsidRDefault="00927C2A">
      <w:pPr>
        <w:numPr>
          <w:ilvl w:val="0"/>
          <w:numId w:val="17"/>
        </w:numPr>
        <w:ind w:right="43" w:hanging="720"/>
      </w:pPr>
      <w:r>
        <w:t xml:space="preserve">Year 2: $2,450,000. </w:t>
      </w:r>
    </w:p>
    <w:p w:rsidR="00D0456E" w:rsidRDefault="00927C2A">
      <w:pPr>
        <w:numPr>
          <w:ilvl w:val="0"/>
          <w:numId w:val="17"/>
        </w:numPr>
        <w:ind w:right="43" w:hanging="720"/>
      </w:pPr>
      <w:r>
        <w:t xml:space="preserve">Consolidated NOL $2,000,000. </w:t>
      </w:r>
    </w:p>
    <w:p w:rsidR="00D0456E" w:rsidRDefault="00927C2A">
      <w:pPr>
        <w:numPr>
          <w:ilvl w:val="0"/>
          <w:numId w:val="17"/>
        </w:numPr>
        <w:ind w:right="43" w:hanging="720"/>
      </w:pPr>
      <w:r>
        <w:t xml:space="preserve">NOL used in year 1 $700,000. Reaches $0 after year 3. </w:t>
      </w:r>
    </w:p>
    <w:p w:rsidR="00D0456E" w:rsidRDefault="00927C2A">
      <w:pPr>
        <w:numPr>
          <w:ilvl w:val="1"/>
          <w:numId w:val="18"/>
        </w:numPr>
        <w:ind w:right="43" w:hanging="720"/>
      </w:pPr>
      <w:r>
        <w:t xml:space="preserve">$45,000. </w:t>
      </w:r>
    </w:p>
    <w:p w:rsidR="00D0456E" w:rsidRDefault="00927C2A">
      <w:pPr>
        <w:numPr>
          <w:ilvl w:val="1"/>
          <w:numId w:val="18"/>
        </w:numPr>
        <w:ind w:right="43" w:hanging="720"/>
      </w:pPr>
      <w:r>
        <w:t xml:space="preserve">$148,000. </w:t>
      </w:r>
    </w:p>
    <w:p w:rsidR="00D0456E" w:rsidRDefault="00927C2A">
      <w:pPr>
        <w:numPr>
          <w:ilvl w:val="1"/>
          <w:numId w:val="19"/>
        </w:numPr>
        <w:ind w:right="43" w:hanging="720"/>
      </w:pPr>
      <w:r>
        <w:t xml:space="preserve">LittleCo, no effect. </w:t>
      </w:r>
    </w:p>
    <w:p w:rsidR="00D0456E" w:rsidRDefault="00927C2A">
      <w:pPr>
        <w:numPr>
          <w:ilvl w:val="1"/>
          <w:numId w:val="19"/>
        </w:numPr>
        <w:ind w:right="43" w:hanging="720"/>
      </w:pPr>
      <w:r>
        <w:t xml:space="preserve">Big, $150,000 taxable gain. </w:t>
      </w:r>
    </w:p>
    <w:p w:rsidR="00D0456E" w:rsidRDefault="00927C2A">
      <w:pPr>
        <w:tabs>
          <w:tab w:val="center" w:pos="2373"/>
        </w:tabs>
        <w:ind w:left="0" w:firstLine="0"/>
        <w:jc w:val="left"/>
      </w:pPr>
      <w:r>
        <w:t xml:space="preserve">30.a. </w:t>
      </w:r>
      <w:r>
        <w:tab/>
        <w:t xml:space="preserve">Separate, $1 million DRD is allowed. </w:t>
      </w:r>
    </w:p>
    <w:p w:rsidR="00D0456E" w:rsidRDefault="00927C2A">
      <w:pPr>
        <w:ind w:left="720" w:right="43" w:hanging="720"/>
      </w:pPr>
      <w:r>
        <w:t xml:space="preserve">30.c. </w:t>
      </w:r>
      <w:r>
        <w:tab/>
        <w:t>Consolidated, Boulder and PebbleCo are both fully liable for $170,000 of tax.</w:t>
      </w:r>
      <w:r>
        <w:t xml:space="preserve"> </w:t>
      </w:r>
    </w:p>
    <w:p w:rsidR="00D0456E" w:rsidRDefault="00927C2A">
      <w:pPr>
        <w:numPr>
          <w:ilvl w:val="0"/>
          <w:numId w:val="20"/>
        </w:numPr>
        <w:ind w:right="43" w:hanging="720"/>
      </w:pPr>
      <w:r>
        <w:t xml:space="preserve">Grand is liable for $2.5 million. </w:t>
      </w:r>
    </w:p>
    <w:p w:rsidR="00D0456E" w:rsidRDefault="00927C2A">
      <w:pPr>
        <w:numPr>
          <w:ilvl w:val="0"/>
          <w:numId w:val="20"/>
        </w:numPr>
        <w:ind w:right="43" w:hanging="720"/>
      </w:pPr>
      <w:r>
        <w:t xml:space="preserve">$220 allocated to Parent. </w:t>
      </w:r>
    </w:p>
    <w:p w:rsidR="00D0456E" w:rsidRDefault="00927C2A">
      <w:pPr>
        <w:spacing w:after="0" w:line="259" w:lineRule="auto"/>
        <w:ind w:left="0" w:firstLine="0"/>
        <w:jc w:val="left"/>
      </w:pPr>
      <w:r>
        <w:t xml:space="preserve"> </w:t>
      </w:r>
    </w:p>
    <w:p w:rsidR="00D0456E" w:rsidRDefault="00927C2A">
      <w:pPr>
        <w:spacing w:after="0" w:line="259" w:lineRule="auto"/>
        <w:ind w:left="0" w:firstLine="0"/>
        <w:jc w:val="left"/>
      </w:pPr>
      <w:r>
        <w:rPr>
          <w:rFonts w:ascii="Arial" w:eastAsia="Arial" w:hAnsi="Arial" w:cs="Arial"/>
        </w:rPr>
        <w:t xml:space="preserve"> </w:t>
      </w:r>
      <w:r>
        <w:rPr>
          <w:rFonts w:ascii="Arial" w:eastAsia="Arial" w:hAnsi="Arial" w:cs="Arial"/>
        </w:rPr>
        <w:tab/>
      </w:r>
      <w:r>
        <w:rPr>
          <w:b/>
        </w:rPr>
        <w:t xml:space="preserve"> </w:t>
      </w:r>
    </w:p>
    <w:p w:rsidR="00D0456E" w:rsidRDefault="00927C2A">
      <w:pPr>
        <w:numPr>
          <w:ilvl w:val="0"/>
          <w:numId w:val="20"/>
        </w:numPr>
        <w:ind w:right="43" w:hanging="720"/>
      </w:pPr>
      <w:r>
        <w:t xml:space="preserve">$264 allocated to Parent. </w:t>
      </w:r>
    </w:p>
    <w:p w:rsidR="00D0456E" w:rsidRDefault="00927C2A">
      <w:pPr>
        <w:numPr>
          <w:ilvl w:val="0"/>
          <w:numId w:val="20"/>
        </w:numPr>
        <w:ind w:right="43" w:hanging="720"/>
      </w:pPr>
      <w:r>
        <w:t xml:space="preserve">Consolidation reduces group liability by </w:t>
      </w:r>
    </w:p>
    <w:p w:rsidR="00D0456E" w:rsidRDefault="00927C2A">
      <w:pPr>
        <w:tabs>
          <w:tab w:val="center" w:pos="1106"/>
        </w:tabs>
        <w:ind w:left="0" w:firstLine="0"/>
        <w:jc w:val="left"/>
      </w:pPr>
      <w:r>
        <w:t xml:space="preserve"> </w:t>
      </w:r>
      <w:r>
        <w:tab/>
        <w:t xml:space="preserve">$22,500. </w:t>
      </w:r>
    </w:p>
    <w:p w:rsidR="00D0456E" w:rsidRDefault="00927C2A">
      <w:pPr>
        <w:ind w:left="10" w:right="378"/>
      </w:pPr>
      <w:r>
        <w:t xml:space="preserve">35.a. </w:t>
      </w:r>
      <w:r>
        <w:tab/>
        <w:t xml:space="preserve">$37 million basis, end of year 2. 35.c. </w:t>
      </w:r>
      <w:r>
        <w:tab/>
        <w:t>$15 million ELA, end of year 2</w:t>
      </w:r>
      <w:r>
        <w:rPr>
          <w:sz w:val="24"/>
        </w:rPr>
        <w:t>.</w:t>
      </w:r>
      <w:r>
        <w:t xml:space="preserve"> </w:t>
      </w:r>
    </w:p>
    <w:p w:rsidR="00D0456E" w:rsidRDefault="00927C2A">
      <w:pPr>
        <w:numPr>
          <w:ilvl w:val="0"/>
          <w:numId w:val="21"/>
        </w:numPr>
        <w:ind w:right="43" w:hanging="720"/>
      </w:pPr>
      <w:r>
        <w:t xml:space="preserve">$200,000 stock basis end of year 2. </w:t>
      </w:r>
    </w:p>
    <w:p w:rsidR="00D0456E" w:rsidRDefault="00927C2A">
      <w:pPr>
        <w:numPr>
          <w:ilvl w:val="0"/>
          <w:numId w:val="21"/>
        </w:numPr>
        <w:ind w:right="43" w:hanging="720"/>
      </w:pPr>
      <w:r>
        <w:t xml:space="preserve">$400,000 excess loss account. </w:t>
      </w:r>
    </w:p>
    <w:p w:rsidR="00D0456E" w:rsidRDefault="00927C2A">
      <w:pPr>
        <w:numPr>
          <w:ilvl w:val="0"/>
          <w:numId w:val="21"/>
        </w:numPr>
        <w:ind w:right="43" w:hanging="720"/>
      </w:pPr>
      <w:r>
        <w:t xml:space="preserve">$220,000 for year 2. </w:t>
      </w:r>
    </w:p>
    <w:p w:rsidR="00D0456E" w:rsidRDefault="00927C2A">
      <w:pPr>
        <w:numPr>
          <w:ilvl w:val="0"/>
          <w:numId w:val="21"/>
        </w:numPr>
        <w:ind w:right="43" w:hanging="720"/>
      </w:pPr>
      <w:r>
        <w:t xml:space="preserve">$520,000 for year 1; $140,000 for year 2. </w:t>
      </w:r>
    </w:p>
    <w:p w:rsidR="00D0456E" w:rsidRDefault="00927C2A">
      <w:pPr>
        <w:numPr>
          <w:ilvl w:val="0"/>
          <w:numId w:val="21"/>
        </w:numPr>
        <w:ind w:right="43" w:hanging="720"/>
      </w:pPr>
      <w:r>
        <w:t xml:space="preserve">$1.5 million NOL carryforward is used. </w:t>
      </w:r>
    </w:p>
    <w:p w:rsidR="00D0456E" w:rsidRDefault="00927C2A">
      <w:pPr>
        <w:numPr>
          <w:ilvl w:val="0"/>
          <w:numId w:val="21"/>
        </w:numPr>
        <w:ind w:right="43" w:hanging="720"/>
      </w:pPr>
      <w:r>
        <w:t xml:space="preserve">$500,000. </w:t>
      </w:r>
    </w:p>
    <w:p w:rsidR="00D0456E" w:rsidRDefault="00927C2A">
      <w:pPr>
        <w:numPr>
          <w:ilvl w:val="0"/>
          <w:numId w:val="21"/>
        </w:numPr>
        <w:spacing w:after="4" w:line="248" w:lineRule="auto"/>
        <w:ind w:right="43" w:hanging="720"/>
      </w:pPr>
      <w:r>
        <w:t xml:space="preserve">NOL deduction in year 2 = $1,500,000. 43.a. </w:t>
      </w:r>
      <w:r>
        <w:tab/>
        <w:t>Consolidated taxable income</w:t>
      </w:r>
      <w:r>
        <w:t xml:space="preserve"> $110,000. 43.b. </w:t>
      </w:r>
      <w:r>
        <w:tab/>
        <w:t xml:space="preserve">Consolidated taxable income $200,000. </w:t>
      </w:r>
    </w:p>
    <w:p w:rsidR="00D0456E" w:rsidRDefault="00927C2A">
      <w:pPr>
        <w:tabs>
          <w:tab w:val="center" w:pos="1482"/>
        </w:tabs>
        <w:ind w:left="0" w:firstLine="0"/>
        <w:jc w:val="left"/>
      </w:pPr>
      <w:r>
        <w:t xml:space="preserve">43.c. </w:t>
      </w:r>
      <w:r>
        <w:tab/>
        <w:t xml:space="preserve">PV factor = .822. </w:t>
      </w:r>
    </w:p>
    <w:p w:rsidR="00D0456E" w:rsidRDefault="00927C2A">
      <w:pPr>
        <w:spacing w:after="0" w:line="259" w:lineRule="auto"/>
        <w:ind w:left="0" w:firstLine="0"/>
        <w:jc w:val="left"/>
      </w:pPr>
      <w:r>
        <w:t xml:space="preserve"> </w:t>
      </w:r>
    </w:p>
    <w:p w:rsidR="00D0456E" w:rsidRDefault="00D0456E">
      <w:pPr>
        <w:sectPr w:rsidR="00D0456E">
          <w:type w:val="continuous"/>
          <w:pgSz w:w="12240" w:h="15840"/>
          <w:pgMar w:top="1440" w:right="992" w:bottom="1440" w:left="1800" w:header="720" w:footer="720" w:gutter="0"/>
          <w:cols w:num="2" w:space="573"/>
        </w:sectPr>
      </w:pPr>
    </w:p>
    <w:p w:rsidR="00D0456E" w:rsidRDefault="00927C2A">
      <w:pPr>
        <w:pStyle w:val="Heading1"/>
        <w:spacing w:after="311"/>
        <w:ind w:left="-5"/>
      </w:pPr>
      <w:r>
        <w:t xml:space="preserve">SOLUTION TO ETHICS &amp; EQUITY FEATURE </w:t>
      </w:r>
    </w:p>
    <w:p w:rsidR="00D0456E" w:rsidRDefault="00927C2A">
      <w:pPr>
        <w:ind w:left="10" w:right="43"/>
      </w:pPr>
      <w:r>
        <w:rPr>
          <w:b/>
          <w:u w:val="single" w:color="000000"/>
        </w:rPr>
        <w:t>Delegating Authority to the Nonelected</w:t>
      </w:r>
      <w:r>
        <w:rPr>
          <w:u w:val="single" w:color="000000"/>
        </w:rPr>
        <w:t xml:space="preserve"> </w:t>
      </w:r>
      <w:r>
        <w:rPr>
          <w:b/>
          <w:u w:val="single" w:color="000000"/>
        </w:rPr>
        <w:t>(p. 8-4)</w:t>
      </w:r>
      <w:r>
        <w:rPr>
          <w:b/>
        </w:rPr>
        <w:t xml:space="preserve">. </w:t>
      </w:r>
      <w:r>
        <w:t>Most observers find the delegation of control over consolidated return regulations to the Treasury to work well. Given the complex nature of capital structures and the tax effects needed to keep a competitive balance in a world economy, special expertise c</w:t>
      </w:r>
      <w:r>
        <w:t>learly is needed. The Treasury generally has been sensitive to the corporate community’s concerns about the law and compliance issues related to consolidated returns. Typically, it calls upon experienced Treasury staff, and occasionally noted attorneys and</w:t>
      </w:r>
      <w:r>
        <w:t xml:space="preserve"> accountants, to take the lead in drafting the Regulations.  </w:t>
      </w:r>
    </w:p>
    <w:p w:rsidR="00D0456E" w:rsidRDefault="00927C2A">
      <w:pPr>
        <w:spacing w:after="0" w:line="259" w:lineRule="auto"/>
        <w:ind w:left="0" w:firstLine="0"/>
        <w:jc w:val="left"/>
      </w:pPr>
      <w:r>
        <w:t xml:space="preserve"> </w:t>
      </w:r>
    </w:p>
    <w:p w:rsidR="00D0456E" w:rsidRDefault="00927C2A">
      <w:pPr>
        <w:spacing w:after="394"/>
        <w:ind w:left="10" w:right="43"/>
      </w:pPr>
      <w:r>
        <w:t>In addition, when a change in law is needed (e.g., as with respect to the recent change in the computations of the parent’s basis in a subsidiary’s stock), the Regulation process likely is mor</w:t>
      </w:r>
      <w:r>
        <w:t xml:space="preserve">e responsive to special needs and faster than is a legislative approach. </w:t>
      </w:r>
    </w:p>
    <w:p w:rsidR="00D0456E" w:rsidRDefault="00927C2A">
      <w:pPr>
        <w:pStyle w:val="Heading1"/>
        <w:spacing w:after="216"/>
        <w:ind w:left="-5"/>
      </w:pPr>
      <w:r>
        <w:t xml:space="preserve">SOLUTIONS TO ROGER CPA REVIEW QUESTIONS </w:t>
      </w:r>
    </w:p>
    <w:p w:rsidR="00D0456E" w:rsidRDefault="00927C2A">
      <w:pPr>
        <w:spacing w:after="258"/>
        <w:ind w:left="10" w:right="43"/>
      </w:pPr>
      <w:r>
        <w:t xml:space="preserve">Detailed answer feedback for Roger CPA Review questions is available on the instructor companion site (www.cengage.com/login). </w:t>
      </w:r>
    </w:p>
    <w:p w:rsidR="00D0456E" w:rsidRDefault="00927C2A">
      <w:pPr>
        <w:numPr>
          <w:ilvl w:val="0"/>
          <w:numId w:val="22"/>
        </w:numPr>
        <w:spacing w:after="202"/>
        <w:ind w:right="43" w:hanging="720"/>
      </w:pPr>
      <w:r>
        <w:t xml:space="preserve">a </w:t>
      </w:r>
      <w:r>
        <w:tab/>
        <w:t xml:space="preserve">4. </w:t>
      </w:r>
      <w:r>
        <w:tab/>
        <w:t xml:space="preserve">a </w:t>
      </w:r>
    </w:p>
    <w:p w:rsidR="00D0456E" w:rsidRDefault="00927C2A">
      <w:pPr>
        <w:numPr>
          <w:ilvl w:val="0"/>
          <w:numId w:val="22"/>
        </w:numPr>
        <w:spacing w:after="202"/>
        <w:ind w:right="43" w:hanging="720"/>
      </w:pPr>
      <w:r>
        <w:t xml:space="preserve">b </w:t>
      </w:r>
      <w:r>
        <w:tab/>
        <w:t xml:space="preserve">5. </w:t>
      </w:r>
      <w:r>
        <w:tab/>
        <w:t xml:space="preserve">c </w:t>
      </w:r>
    </w:p>
    <w:p w:rsidR="00D0456E" w:rsidRDefault="00927C2A">
      <w:pPr>
        <w:numPr>
          <w:ilvl w:val="0"/>
          <w:numId w:val="22"/>
        </w:numPr>
        <w:spacing w:after="67"/>
        <w:ind w:right="43" w:hanging="720"/>
      </w:pPr>
      <w:r>
        <w:t xml:space="preserve">d </w:t>
      </w:r>
    </w:p>
    <w:p w:rsidR="00D0456E" w:rsidRDefault="00927C2A">
      <w:pPr>
        <w:spacing w:after="0" w:line="259" w:lineRule="auto"/>
        <w:ind w:left="0" w:firstLine="0"/>
        <w:jc w:val="left"/>
      </w:pPr>
      <w:r>
        <w:rPr>
          <w:b/>
        </w:rPr>
        <w:t xml:space="preserve"> </w:t>
      </w:r>
    </w:p>
    <w:sectPr w:rsidR="00D0456E">
      <w:pgSz w:w="12240" w:h="15840"/>
      <w:pgMar w:top="1440" w:right="1793" w:bottom="1440" w:left="720" w:header="720" w:footer="720"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27C2A">
      <w:pPr>
        <w:spacing w:after="0" w:line="240" w:lineRule="auto"/>
      </w:pPr>
      <w:r>
        <w:separator/>
      </w:r>
    </w:p>
  </w:endnote>
  <w:endnote w:type="continuationSeparator" w:id="0">
    <w:p w:rsidR="00000000" w:rsidRDefault="00927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6E" w:rsidRDefault="00927C2A">
    <w:pPr>
      <w:spacing w:after="0" w:line="259" w:lineRule="auto"/>
      <w:ind w:left="0" w:right="1084" w:firstLine="0"/>
      <w:jc w:val="center"/>
    </w:pPr>
    <w:r>
      <w:rPr>
        <w:sz w:val="16"/>
      </w:rPr>
      <w:t>© 2018 Cengage Learning</w:t>
    </w:r>
    <w:r>
      <w:rPr>
        <w:sz w:val="16"/>
        <w:vertAlign w:val="superscript"/>
      </w:rPr>
      <w:t>®</w:t>
    </w:r>
    <w:r>
      <w:rPr>
        <w:sz w:val="16"/>
      </w:rPr>
      <w:t>.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6E" w:rsidRDefault="00927C2A">
    <w:pPr>
      <w:spacing w:after="0" w:line="259" w:lineRule="auto"/>
      <w:ind w:left="1077" w:firstLine="0"/>
      <w:jc w:val="center"/>
    </w:pPr>
    <w:r>
      <w:rPr>
        <w:sz w:val="16"/>
      </w:rPr>
      <w:t>© 2018 Cengage Learning</w:t>
    </w:r>
    <w:r>
      <w:rPr>
        <w:sz w:val="16"/>
        <w:vertAlign w:val="superscript"/>
      </w:rPr>
      <w:t>®</w:t>
    </w:r>
    <w:r>
      <w:rPr>
        <w:sz w:val="16"/>
      </w:rPr>
      <w:t>. May not be scanned, copied or duplicated, or posted to a publicly accessible website, in whole or in part.</w:t>
    </w:r>
    <w:r>
      <w:rPr>
        <w:b/>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6E" w:rsidRDefault="00927C2A">
    <w:pPr>
      <w:spacing w:after="0" w:line="259" w:lineRule="auto"/>
      <w:ind w:left="1076" w:firstLine="0"/>
      <w:jc w:val="center"/>
    </w:pPr>
    <w:r>
      <w:rPr>
        <w:sz w:val="16"/>
      </w:rPr>
      <w:t>© 2018 Cengag</w:t>
    </w:r>
    <w:r>
      <w:rPr>
        <w:sz w:val="16"/>
      </w:rPr>
      <w:t>e Learning</w:t>
    </w:r>
    <w:r>
      <w:rPr>
        <w:sz w:val="16"/>
        <w:vertAlign w:val="superscript"/>
      </w:rPr>
      <w:t>®</w:t>
    </w:r>
    <w:r>
      <w:rPr>
        <w:sz w:val="16"/>
      </w:rPr>
      <w:t>. May not be scanned, copied or duplicated, or posted to a publicly accessible website, in whole or in part.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6E" w:rsidRDefault="00927C2A">
    <w:pPr>
      <w:spacing w:after="0" w:line="259" w:lineRule="auto"/>
      <w:ind w:left="46" w:firstLine="0"/>
      <w:jc w:val="center"/>
    </w:pPr>
    <w:r>
      <w:rPr>
        <w:sz w:val="16"/>
      </w:rPr>
      <w:t>© 2018 Cengage Learning</w:t>
    </w:r>
    <w:r>
      <w:rPr>
        <w:sz w:val="16"/>
        <w:vertAlign w:val="superscript"/>
      </w:rPr>
      <w:t>®</w:t>
    </w:r>
    <w:r>
      <w:rPr>
        <w:sz w:val="16"/>
      </w:rPr>
      <w:t>. May not be scanned, copied or duplicated, or posted to a publicly accessible website, in whole or in part.</w:t>
    </w:r>
    <w:r>
      <w:rPr>
        <w:b/>
        <w:sz w:val="16"/>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6E" w:rsidRDefault="00927C2A">
    <w:pPr>
      <w:spacing w:after="0" w:line="259" w:lineRule="auto"/>
      <w:ind w:left="1778" w:right="-427" w:firstLine="0"/>
      <w:jc w:val="center"/>
    </w:pPr>
    <w:r>
      <w:rPr>
        <w:sz w:val="16"/>
      </w:rPr>
      <w:t>© 2018 Cengage Learning</w:t>
    </w:r>
    <w:r>
      <w:rPr>
        <w:sz w:val="16"/>
        <w:vertAlign w:val="superscript"/>
      </w:rPr>
      <w:t>®</w:t>
    </w:r>
    <w:r>
      <w:rPr>
        <w:sz w:val="16"/>
      </w:rPr>
      <w:t>. May not be scanned, copied or duplicated, or posted to a publicly accessible website, in whole or in part.</w:t>
    </w:r>
    <w:r>
      <w:rPr>
        <w:b/>
        <w:sz w:val="16"/>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6E" w:rsidRDefault="00927C2A">
    <w:pPr>
      <w:spacing w:after="0" w:line="259" w:lineRule="auto"/>
      <w:ind w:left="46" w:firstLine="0"/>
      <w:jc w:val="center"/>
    </w:pPr>
    <w:r>
      <w:rPr>
        <w:sz w:val="16"/>
      </w:rPr>
      <w:t>© 2018 Cenga</w:t>
    </w:r>
    <w:r>
      <w:rPr>
        <w:sz w:val="16"/>
      </w:rPr>
      <w:t>ge Learning</w:t>
    </w:r>
    <w:r>
      <w:rPr>
        <w:sz w:val="16"/>
        <w:vertAlign w:val="superscript"/>
      </w:rPr>
      <w:t>®</w:t>
    </w:r>
    <w:r>
      <w:rPr>
        <w:sz w:val="16"/>
      </w:rPr>
      <w:t>. May not be scanned, copied or duplicated, or posted to a publicly accessible website, in whole or in part.</w:t>
    </w:r>
    <w:r>
      <w:rPr>
        <w:b/>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27C2A">
      <w:pPr>
        <w:spacing w:after="0" w:line="240" w:lineRule="auto"/>
      </w:pPr>
      <w:r>
        <w:separator/>
      </w:r>
    </w:p>
  </w:footnote>
  <w:footnote w:type="continuationSeparator" w:id="0">
    <w:p w:rsidR="00000000" w:rsidRDefault="00927C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6E" w:rsidRDefault="00D0456E">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6E" w:rsidRDefault="00D0456E">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6E" w:rsidRDefault="00D0456E">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6E" w:rsidRDefault="00927C2A">
    <w:pPr>
      <w:tabs>
        <w:tab w:val="center" w:pos="5092"/>
      </w:tabs>
      <w:spacing w:after="0" w:line="259" w:lineRule="auto"/>
      <w:ind w:left="0" w:firstLine="0"/>
      <w:jc w:val="left"/>
    </w:pPr>
    <w:r>
      <w:rPr>
        <w:b/>
      </w:rPr>
      <w:t>8-</w:t>
    </w:r>
    <w:r>
      <w:fldChar w:fldCharType="begin"/>
    </w:r>
    <w:r>
      <w:instrText xml:space="preserve"> PAGE   \* MERGEFORMAT </w:instrText>
    </w:r>
    <w:r>
      <w:fldChar w:fldCharType="separate"/>
    </w:r>
    <w:r w:rsidRPr="00927C2A">
      <w:rPr>
        <w:b/>
        <w:noProof/>
      </w:rPr>
      <w:t>2</w:t>
    </w:r>
    <w:r>
      <w:rPr>
        <w:b/>
      </w:rPr>
      <w:fldChar w:fldCharType="end"/>
    </w:r>
    <w:r>
      <w:t xml:space="preserve"> </w:t>
    </w:r>
    <w:r>
      <w:tab/>
    </w:r>
    <w:r>
      <w:rPr>
        <w:b/>
      </w:rPr>
      <w:t xml:space="preserve">2018 Corporations Volume/Solutions Manual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6E" w:rsidRDefault="00927C2A">
    <w:pPr>
      <w:tabs>
        <w:tab w:val="center" w:pos="1130"/>
        <w:tab w:val="center" w:pos="5451"/>
        <w:tab w:val="right" w:pos="10851"/>
      </w:tabs>
      <w:spacing w:after="0" w:line="259" w:lineRule="auto"/>
      <w:ind w:left="0" w:right="-1077" w:firstLine="0"/>
      <w:jc w:val="left"/>
    </w:pPr>
    <w:r>
      <w:rPr>
        <w:rFonts w:ascii="Calibri" w:eastAsia="Calibri" w:hAnsi="Calibri" w:cs="Calibri"/>
      </w:rPr>
      <w:tab/>
    </w:r>
    <w:r>
      <w:rPr>
        <w:b/>
      </w:rPr>
      <w:t xml:space="preserve"> </w:t>
    </w:r>
    <w:r>
      <w:rPr>
        <w:b/>
      </w:rPr>
      <w:tab/>
      <w:t xml:space="preserve">Consolidated Tax Returns  </w:t>
    </w:r>
    <w:r>
      <w:rPr>
        <w:b/>
      </w:rPr>
      <w:tab/>
      <w:t>8-</w:t>
    </w:r>
    <w:r>
      <w:fldChar w:fldCharType="begin"/>
    </w:r>
    <w:r>
      <w:instrText xml:space="preserve"> PAGE   \* MERGEFORMAT </w:instrText>
    </w:r>
    <w:r>
      <w:fldChar w:fldCharType="separate"/>
    </w:r>
    <w:r w:rsidRPr="00927C2A">
      <w:rPr>
        <w:b/>
        <w:noProof/>
      </w:rPr>
      <w:t>17</w:t>
    </w:r>
    <w:r>
      <w:rPr>
        <w:b/>
      </w:rPr>
      <w:fldChar w:fldCharType="end"/>
    </w:r>
    <w:r>
      <w:rPr>
        <w:b/>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6E" w:rsidRDefault="00927C2A">
    <w:pPr>
      <w:tabs>
        <w:tab w:val="center" w:pos="5092"/>
      </w:tabs>
      <w:spacing w:after="0" w:line="259" w:lineRule="auto"/>
      <w:ind w:left="0" w:firstLine="0"/>
      <w:jc w:val="left"/>
    </w:pPr>
    <w:r>
      <w:rPr>
        <w:b/>
      </w:rPr>
      <w:t>8-</w:t>
    </w:r>
    <w:r>
      <w:fldChar w:fldCharType="begin"/>
    </w:r>
    <w:r>
      <w:instrText xml:space="preserve"> PAGE   \* MERGEFORMAT </w:instrText>
    </w:r>
    <w:r>
      <w:fldChar w:fldCharType="separate"/>
    </w:r>
    <w:r>
      <w:rPr>
        <w:b/>
      </w:rPr>
      <w:t>2</w:t>
    </w:r>
    <w:r>
      <w:rPr>
        <w:b/>
      </w:rPr>
      <w:fldChar w:fldCharType="end"/>
    </w:r>
    <w:r>
      <w:t xml:space="preserve"> </w:t>
    </w:r>
    <w:r>
      <w:tab/>
    </w:r>
    <w:r>
      <w:rPr>
        <w:b/>
      </w:rPr>
      <w:t xml:space="preserve">2018 Corporations Volume/Solutions Manual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1B0"/>
    <w:multiLevelType w:val="hybridMultilevel"/>
    <w:tmpl w:val="779048E8"/>
    <w:lvl w:ilvl="0" w:tplc="669CC7A2">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1AA71F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44869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CA263E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41805F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5084B7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72469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624615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2F4DDF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2B50407"/>
    <w:multiLevelType w:val="hybridMultilevel"/>
    <w:tmpl w:val="73420BDE"/>
    <w:lvl w:ilvl="0" w:tplc="AE744E14">
      <w:start w:val="1"/>
      <w:numFmt w:val="bullet"/>
      <w:lvlText w:val="•"/>
      <w:lvlJc w:val="left"/>
      <w:pPr>
        <w:ind w:left="10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EF8BBC8">
      <w:start w:val="1"/>
      <w:numFmt w:val="bullet"/>
      <w:lvlText w:val="o"/>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685198">
      <w:start w:val="1"/>
      <w:numFmt w:val="bullet"/>
      <w:lvlText w:val="▪"/>
      <w:lvlJc w:val="left"/>
      <w:pPr>
        <w:ind w:left="2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846031E">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AC29874">
      <w:start w:val="1"/>
      <w:numFmt w:val="bullet"/>
      <w:lvlText w:val="o"/>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3EA132">
      <w:start w:val="1"/>
      <w:numFmt w:val="bullet"/>
      <w:lvlText w:val="▪"/>
      <w:lvlJc w:val="left"/>
      <w:pPr>
        <w:ind w:left="4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1FA8F0C">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F4F67E">
      <w:start w:val="1"/>
      <w:numFmt w:val="bullet"/>
      <w:lvlText w:val="o"/>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B6ADCC2">
      <w:start w:val="1"/>
      <w:numFmt w:val="bullet"/>
      <w:lvlText w:val="▪"/>
      <w:lvlJc w:val="left"/>
      <w:pPr>
        <w:ind w:left="68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4764B66"/>
    <w:multiLevelType w:val="hybridMultilevel"/>
    <w:tmpl w:val="A560BEB2"/>
    <w:lvl w:ilvl="0" w:tplc="2848B1E2">
      <w:start w:val="3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138731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230D75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9EE8FD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36051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902D1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45C20D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BE0FBA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206AE3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9441C18"/>
    <w:multiLevelType w:val="multilevel"/>
    <w:tmpl w:val="02061D76"/>
    <w:lvl w:ilvl="0">
      <w:start w:val="28"/>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2"/>
      <w:numFmt w:val="lowerLetter"/>
      <w:lvlRestart w:val="0"/>
      <w:lvlText w:val="%1.%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8CE3C05"/>
    <w:multiLevelType w:val="hybridMultilevel"/>
    <w:tmpl w:val="9EC8E5E6"/>
    <w:lvl w:ilvl="0" w:tplc="4CE6A55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2AA174C">
      <w:start w:val="1"/>
      <w:numFmt w:val="lowerLetter"/>
      <w:lvlText w:val="%2."/>
      <w:lvlJc w:val="left"/>
      <w:pPr>
        <w:ind w:left="10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E0AA03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360B64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3E8E8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8E6C2F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8DA62E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214794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70CED6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964363A"/>
    <w:multiLevelType w:val="hybridMultilevel"/>
    <w:tmpl w:val="00E83D6C"/>
    <w:lvl w:ilvl="0" w:tplc="C526BB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9B8FA88">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6F09B3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128998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5DAC4C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C44DCF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A56E5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C62AA2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C264AF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B6C4512"/>
    <w:multiLevelType w:val="hybridMultilevel"/>
    <w:tmpl w:val="27BE031A"/>
    <w:lvl w:ilvl="0" w:tplc="6B4E249C">
      <w:start w:val="24"/>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06EA0D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58F95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1DE724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83EEBA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8AC013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5E476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C76442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6E0FD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EAB40F3"/>
    <w:multiLevelType w:val="hybridMultilevel"/>
    <w:tmpl w:val="C3CCF404"/>
    <w:lvl w:ilvl="0" w:tplc="CBCCF65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D6067E8">
      <w:start w:val="1"/>
      <w:numFmt w:val="lowerLetter"/>
      <w:lvlText w:val="%2."/>
      <w:lvlJc w:val="left"/>
      <w:pPr>
        <w:ind w:left="10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6DCE7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160D11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93C0FE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0B2BEF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3726FB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CF88B1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9D0EAA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068632E"/>
    <w:multiLevelType w:val="hybridMultilevel"/>
    <w:tmpl w:val="3138BB0E"/>
    <w:lvl w:ilvl="0" w:tplc="B9823208">
      <w:start w:val="29"/>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56EE1D2">
      <w:start w:val="1"/>
      <w:numFmt w:val="lowerLetter"/>
      <w:lvlText w:val="%2"/>
      <w:lvlJc w:val="left"/>
      <w:pPr>
        <w:ind w:left="1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F4ADB9A">
      <w:start w:val="1"/>
      <w:numFmt w:val="lowerRoman"/>
      <w:lvlText w:val="%3"/>
      <w:lvlJc w:val="left"/>
      <w:pPr>
        <w:ind w:left="1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59CEC60">
      <w:start w:val="1"/>
      <w:numFmt w:val="decimal"/>
      <w:lvlText w:val="%4"/>
      <w:lvlJc w:val="left"/>
      <w:pPr>
        <w:ind w:left="2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6129D5A">
      <w:start w:val="1"/>
      <w:numFmt w:val="lowerLetter"/>
      <w:lvlText w:val="%5"/>
      <w:lvlJc w:val="left"/>
      <w:pPr>
        <w:ind w:left="3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FEAE514">
      <w:start w:val="1"/>
      <w:numFmt w:val="lowerRoman"/>
      <w:lvlText w:val="%6"/>
      <w:lvlJc w:val="left"/>
      <w:pPr>
        <w:ind w:left="3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184A6F6">
      <w:start w:val="1"/>
      <w:numFmt w:val="decimal"/>
      <w:lvlText w:val="%7"/>
      <w:lvlJc w:val="left"/>
      <w:pPr>
        <w:ind w:left="46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3A8C2BE">
      <w:start w:val="1"/>
      <w:numFmt w:val="lowerLetter"/>
      <w:lvlText w:val="%8"/>
      <w:lvlJc w:val="left"/>
      <w:pPr>
        <w:ind w:left="54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47C5BA6">
      <w:start w:val="1"/>
      <w:numFmt w:val="lowerRoman"/>
      <w:lvlText w:val="%9"/>
      <w:lvlJc w:val="left"/>
      <w:pPr>
        <w:ind w:left="61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0A166DE"/>
    <w:multiLevelType w:val="hybridMultilevel"/>
    <w:tmpl w:val="6498A8C8"/>
    <w:lvl w:ilvl="0" w:tplc="889418F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ABA863C">
      <w:start w:val="1"/>
      <w:numFmt w:val="bullet"/>
      <w:lvlText w:val="•"/>
      <w:lvlJc w:val="left"/>
      <w:pPr>
        <w:ind w:left="10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1FC1D4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83C846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90082B6">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A8A3EC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ED68FA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A3E05C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2324A9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2FA1AD2"/>
    <w:multiLevelType w:val="hybridMultilevel"/>
    <w:tmpl w:val="27C88770"/>
    <w:lvl w:ilvl="0" w:tplc="43881842">
      <w:start w:val="24"/>
      <w:numFmt w:val="decimal"/>
      <w:lvlText w:val="%1."/>
      <w:lvlJc w:val="left"/>
      <w:pPr>
        <w:ind w:left="7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5DE2F90">
      <w:start w:val="1"/>
      <w:numFmt w:val="lowerLetter"/>
      <w:lvlText w:val="%2."/>
      <w:lvlJc w:val="left"/>
      <w:pPr>
        <w:ind w:left="14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9D66F3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BD2F4D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BEE0FB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212C18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B100AE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32626D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358951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66F363C"/>
    <w:multiLevelType w:val="hybridMultilevel"/>
    <w:tmpl w:val="AB9E43A6"/>
    <w:lvl w:ilvl="0" w:tplc="A9802496">
      <w:start w:val="35"/>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A82256">
      <w:start w:val="1"/>
      <w:numFmt w:val="lowerLetter"/>
      <w:lvlText w:val="%2"/>
      <w:lvlJc w:val="left"/>
      <w:pPr>
        <w:ind w:left="10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DA83B5C">
      <w:start w:val="1"/>
      <w:numFmt w:val="lowerRoman"/>
      <w:lvlText w:val="%3"/>
      <w:lvlJc w:val="left"/>
      <w:pPr>
        <w:ind w:left="18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C242072">
      <w:start w:val="1"/>
      <w:numFmt w:val="decimal"/>
      <w:lvlText w:val="%4"/>
      <w:lvlJc w:val="left"/>
      <w:pPr>
        <w:ind w:left="25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690FFEE">
      <w:start w:val="1"/>
      <w:numFmt w:val="lowerLetter"/>
      <w:lvlText w:val="%5"/>
      <w:lvlJc w:val="left"/>
      <w:pPr>
        <w:ind w:left="32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3C4BB4C">
      <w:start w:val="1"/>
      <w:numFmt w:val="lowerRoman"/>
      <w:lvlText w:val="%6"/>
      <w:lvlJc w:val="left"/>
      <w:pPr>
        <w:ind w:left="39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A7A03DC">
      <w:start w:val="1"/>
      <w:numFmt w:val="decimal"/>
      <w:lvlText w:val="%7"/>
      <w:lvlJc w:val="left"/>
      <w:pPr>
        <w:ind w:left="46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28074C6">
      <w:start w:val="1"/>
      <w:numFmt w:val="lowerLetter"/>
      <w:lvlText w:val="%8"/>
      <w:lvlJc w:val="left"/>
      <w:pPr>
        <w:ind w:left="5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E522754">
      <w:start w:val="1"/>
      <w:numFmt w:val="lowerRoman"/>
      <w:lvlText w:val="%9"/>
      <w:lvlJc w:val="left"/>
      <w:pPr>
        <w:ind w:left="61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86C7EA1"/>
    <w:multiLevelType w:val="hybridMultilevel"/>
    <w:tmpl w:val="59A8EB40"/>
    <w:lvl w:ilvl="0" w:tplc="8162EA0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A9E3F78">
      <w:start w:val="1"/>
      <w:numFmt w:val="lowerLetter"/>
      <w:lvlText w:val="%2."/>
      <w:lvlJc w:val="left"/>
      <w:pPr>
        <w:ind w:left="1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C14D10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2B07E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4586D6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88E284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B2A7D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FAB2B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24CEEE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2912560"/>
    <w:multiLevelType w:val="hybridMultilevel"/>
    <w:tmpl w:val="27B24BD0"/>
    <w:lvl w:ilvl="0" w:tplc="D8FE1D92">
      <w:start w:val="1"/>
      <w:numFmt w:val="bullet"/>
      <w:lvlText w:val="•"/>
      <w:lvlJc w:val="left"/>
      <w:pPr>
        <w:ind w:left="10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05E6356">
      <w:start w:val="1"/>
      <w:numFmt w:val="bullet"/>
      <w:lvlText w:val="o"/>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7281A70">
      <w:start w:val="1"/>
      <w:numFmt w:val="bullet"/>
      <w:lvlText w:val="▪"/>
      <w:lvlJc w:val="left"/>
      <w:pPr>
        <w:ind w:left="2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49E2EB2">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4E4DADA">
      <w:start w:val="1"/>
      <w:numFmt w:val="bullet"/>
      <w:lvlText w:val="o"/>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5E84184">
      <w:start w:val="1"/>
      <w:numFmt w:val="bullet"/>
      <w:lvlText w:val="▪"/>
      <w:lvlJc w:val="left"/>
      <w:pPr>
        <w:ind w:left="4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FD6124E">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1001E82">
      <w:start w:val="1"/>
      <w:numFmt w:val="bullet"/>
      <w:lvlText w:val="o"/>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6E63894">
      <w:start w:val="1"/>
      <w:numFmt w:val="bullet"/>
      <w:lvlText w:val="▪"/>
      <w:lvlJc w:val="left"/>
      <w:pPr>
        <w:ind w:left="68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A337C96"/>
    <w:multiLevelType w:val="hybridMultilevel"/>
    <w:tmpl w:val="BB26466A"/>
    <w:lvl w:ilvl="0" w:tplc="A404C8D4">
      <w:start w:val="36"/>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1808BA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AF8724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53C319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07A7F5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880F95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A88DCF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A4E4F9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ABCBB9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03160BE"/>
    <w:multiLevelType w:val="hybridMultilevel"/>
    <w:tmpl w:val="589A8280"/>
    <w:lvl w:ilvl="0" w:tplc="C9A8E93A">
      <w:start w:val="6"/>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BE8DF14">
      <w:start w:val="1"/>
      <w:numFmt w:val="bullet"/>
      <w:lvlText w:val="•"/>
      <w:lvlJc w:val="left"/>
      <w:pPr>
        <w:ind w:left="10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FA8CDD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4207D0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88C30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D0EABF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EDAF0D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B0402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D60FC3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22A7AD4"/>
    <w:multiLevelType w:val="multilevel"/>
    <w:tmpl w:val="F71CA694"/>
    <w:lvl w:ilvl="0">
      <w:start w:val="29"/>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2"/>
      <w:numFmt w:val="lowerLetter"/>
      <w:lvlRestart w:val="0"/>
      <w:lvlText w:val="%1.%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6D52AE2"/>
    <w:multiLevelType w:val="hybridMultilevel"/>
    <w:tmpl w:val="96ACEE6A"/>
    <w:lvl w:ilvl="0" w:tplc="1B46AFF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4666C6">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25AFC8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0FE00B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F1E473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09680C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7A494C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42E464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FB01C6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F0369EE"/>
    <w:multiLevelType w:val="hybridMultilevel"/>
    <w:tmpl w:val="504E1C86"/>
    <w:lvl w:ilvl="0" w:tplc="AA8EB08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338BDA4">
      <w:start w:val="1"/>
      <w:numFmt w:val="bullet"/>
      <w:lvlText w:val="•"/>
      <w:lvlJc w:val="left"/>
      <w:pPr>
        <w:ind w:left="10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B9058B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83A79E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2F2B6D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804BDF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FB6F7E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A160F3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790375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B5E6DE9"/>
    <w:multiLevelType w:val="hybridMultilevel"/>
    <w:tmpl w:val="94F4C7CA"/>
    <w:lvl w:ilvl="0" w:tplc="45C2724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C866058">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78813D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DE299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CAC89F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F2CDF8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A9C4AA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9CEF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2981C4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0A5695B"/>
    <w:multiLevelType w:val="hybridMultilevel"/>
    <w:tmpl w:val="350A28CE"/>
    <w:lvl w:ilvl="0" w:tplc="B928CF3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9A2DBE6">
      <w:start w:val="1"/>
      <w:numFmt w:val="lowerLetter"/>
      <w:lvlText w:val="%2."/>
      <w:lvlJc w:val="left"/>
      <w:pPr>
        <w:ind w:left="10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DC488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76A4AC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E1E7E1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C3023C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FDC852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6A29CC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5AF9E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7963E44"/>
    <w:multiLevelType w:val="hybridMultilevel"/>
    <w:tmpl w:val="DBBEA932"/>
    <w:lvl w:ilvl="0" w:tplc="95266D70">
      <w:start w:val="3"/>
      <w:numFmt w:val="lowerLetter"/>
      <w:lvlText w:val="%1."/>
      <w:lvlJc w:val="left"/>
      <w:pPr>
        <w:ind w:left="4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402B03C">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6F4D24E">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C361156">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452DEDE">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B084B34">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B629BD6">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19A7F40">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BE2CFEA">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75644376"/>
    <w:multiLevelType w:val="hybridMultilevel"/>
    <w:tmpl w:val="B6E86358"/>
    <w:lvl w:ilvl="0" w:tplc="C7720370">
      <w:start w:val="1"/>
      <w:numFmt w:val="decimal"/>
      <w:lvlText w:val="%1."/>
      <w:lvlJc w:val="left"/>
      <w:pPr>
        <w:ind w:left="16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9C48A8C">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644558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8B0657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61A16F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7624FD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F90D01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3CAD31A">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24AC4F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22"/>
  </w:num>
  <w:num w:numId="2">
    <w:abstractNumId w:val="19"/>
  </w:num>
  <w:num w:numId="3">
    <w:abstractNumId w:val="13"/>
  </w:num>
  <w:num w:numId="4">
    <w:abstractNumId w:val="1"/>
  </w:num>
  <w:num w:numId="5">
    <w:abstractNumId w:val="15"/>
  </w:num>
  <w:num w:numId="6">
    <w:abstractNumId w:val="20"/>
  </w:num>
  <w:num w:numId="7">
    <w:abstractNumId w:val="7"/>
  </w:num>
  <w:num w:numId="8">
    <w:abstractNumId w:val="4"/>
  </w:num>
  <w:num w:numId="9">
    <w:abstractNumId w:val="12"/>
  </w:num>
  <w:num w:numId="10">
    <w:abstractNumId w:val="17"/>
  </w:num>
  <w:num w:numId="11">
    <w:abstractNumId w:val="10"/>
  </w:num>
  <w:num w:numId="12">
    <w:abstractNumId w:val="9"/>
  </w:num>
  <w:num w:numId="13">
    <w:abstractNumId w:val="18"/>
  </w:num>
  <w:num w:numId="14">
    <w:abstractNumId w:val="8"/>
  </w:num>
  <w:num w:numId="15">
    <w:abstractNumId w:val="11"/>
  </w:num>
  <w:num w:numId="16">
    <w:abstractNumId w:val="5"/>
  </w:num>
  <w:num w:numId="17">
    <w:abstractNumId w:val="6"/>
  </w:num>
  <w:num w:numId="18">
    <w:abstractNumId w:val="3"/>
  </w:num>
  <w:num w:numId="19">
    <w:abstractNumId w:val="16"/>
  </w:num>
  <w:num w:numId="20">
    <w:abstractNumId w:val="2"/>
  </w:num>
  <w:num w:numId="21">
    <w:abstractNumId w:val="14"/>
  </w:num>
  <w:num w:numId="22">
    <w:abstractNumId w:val="0"/>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hideSpellingErrors/>
  <w:hideGrammaticalErrors/>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56E"/>
    <w:rsid w:val="00927C2A"/>
    <w:rsid w:val="00D04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DF4B0CD3-EFC1-4540-BC48-306215DE1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spacing w:after="12" w:line="247" w:lineRule="auto"/>
      <w:ind w:left="109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3"/>
      <w:ind w:left="1089"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6267</Words>
  <Characters>35725</Characters>
  <Application>Microsoft Office Word</Application>
  <DocSecurity>4</DocSecurity>
  <Lines>297</Lines>
  <Paragraphs>83</Paragraphs>
  <ScaleCrop>false</ScaleCrop>
  <Company/>
  <LinksUpToDate>false</LinksUpToDate>
  <CharactersWithSpaces>41909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- 89983_V2_ch08_SM_ptg01_001-018_rev02</dc:title>
  <dc:subject/>
  <dc:creator>saravankumar</dc:creator>
  <cp:keywords/>
  <cp:lastModifiedBy>Gross, Jonathan A</cp:lastModifiedBy>
  <cp:revision>2</cp:revision>
  <dcterms:created xsi:type="dcterms:W3CDTF">2017-06-19T20:24:00Z</dcterms:created>
  <dcterms:modified xsi:type="dcterms:W3CDTF">2017-06-19T20:24:00Z</dcterms:modified>
</cp:coreProperties>
</file>