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C871A" w14:textId="77777777" w:rsidR="00775555" w:rsidRPr="00CF7AD7" w:rsidRDefault="00775555" w:rsidP="008C0F15">
      <w:pPr>
        <w:jc w:val="center"/>
        <w:rPr>
          <w:b/>
          <w:sz w:val="32"/>
          <w:szCs w:val="32"/>
        </w:rPr>
      </w:pPr>
      <w:r w:rsidRPr="00CF7AD7">
        <w:rPr>
          <w:b/>
          <w:sz w:val="32"/>
          <w:szCs w:val="32"/>
        </w:rPr>
        <w:t>CHAPTER 2</w:t>
      </w:r>
    </w:p>
    <w:p w14:paraId="75C7B3A7" w14:textId="77777777" w:rsidR="00775555" w:rsidRPr="00CF7AD7" w:rsidRDefault="00775555" w:rsidP="008C0F15">
      <w:pPr>
        <w:rPr>
          <w:sz w:val="32"/>
          <w:szCs w:val="32"/>
        </w:rPr>
      </w:pPr>
    </w:p>
    <w:p w14:paraId="127065C1" w14:textId="5BD470AD" w:rsidR="00775555" w:rsidRPr="00785CA3" w:rsidRDefault="00586B07" w:rsidP="008C0F15">
      <w:pPr>
        <w:jc w:val="center"/>
      </w:pPr>
      <w:r w:rsidRPr="00586B07">
        <w:rPr>
          <w:b/>
          <w:sz w:val="32"/>
          <w:szCs w:val="32"/>
        </w:rPr>
        <w:t xml:space="preserve">THE DEDUCTION FOR QUALIFIED BUSINESS INCOME FOR </w:t>
      </w:r>
      <w:r w:rsidR="00742723">
        <w:rPr>
          <w:b/>
          <w:sz w:val="32"/>
          <w:szCs w:val="32"/>
        </w:rPr>
        <w:t>NONCORPORATE TAXPAYERS</w:t>
      </w:r>
    </w:p>
    <w:p w14:paraId="3A6CE586" w14:textId="77777777" w:rsidR="00E42138" w:rsidRPr="00785CA3" w:rsidRDefault="00E42138" w:rsidP="008C0F15"/>
    <w:p w14:paraId="0EE7D981" w14:textId="77777777" w:rsidR="00775555" w:rsidRPr="00CF7AD7" w:rsidRDefault="00775555" w:rsidP="008C0F15">
      <w:pPr>
        <w:jc w:val="center"/>
        <w:rPr>
          <w:b/>
          <w:i/>
          <w:caps/>
          <w:sz w:val="28"/>
          <w:szCs w:val="28"/>
        </w:rPr>
      </w:pPr>
      <w:r w:rsidRPr="00CF7AD7">
        <w:rPr>
          <w:b/>
          <w:i/>
          <w:caps/>
          <w:sz w:val="28"/>
          <w:szCs w:val="28"/>
        </w:rPr>
        <w:t>Lecture Notes</w:t>
      </w:r>
    </w:p>
    <w:p w14:paraId="7C36CF44" w14:textId="77777777" w:rsidR="003904E6" w:rsidRPr="00785CA3" w:rsidRDefault="003904E6" w:rsidP="008C0F15">
      <w:pPr>
        <w:rPr>
          <w:b/>
          <w:caps/>
        </w:rPr>
      </w:pPr>
    </w:p>
    <w:p w14:paraId="5DBA688D" w14:textId="77777777" w:rsidR="003904E6" w:rsidRPr="00785CA3" w:rsidRDefault="003904E6" w:rsidP="008C0F15">
      <w:pPr>
        <w:rPr>
          <w:b/>
        </w:rPr>
      </w:pPr>
      <w:r w:rsidRPr="00785CA3">
        <w:rPr>
          <w:b/>
        </w:rPr>
        <w:t>OVERVIEW</w:t>
      </w:r>
    </w:p>
    <w:p w14:paraId="5349C502" w14:textId="77777777" w:rsidR="003904E6" w:rsidRPr="00785CA3" w:rsidRDefault="003904E6" w:rsidP="008C0F15"/>
    <w:p w14:paraId="5017CB1F" w14:textId="5A5B7B10" w:rsidR="00775555" w:rsidRPr="00785CA3" w:rsidRDefault="003904E6" w:rsidP="003E7562">
      <w:r w:rsidRPr="00785CA3">
        <w:t xml:space="preserve">For Federal income tax purposes, the distinctions among forms of business organization are </w:t>
      </w:r>
      <w:r w:rsidR="00084DF0" w:rsidRPr="00785CA3">
        <w:t>critical</w:t>
      </w:r>
      <w:r w:rsidRPr="00785CA3">
        <w:t>. This chapter discusses the tax treatment of sole proprietorships, partnerships,</w:t>
      </w:r>
      <w:r w:rsidR="003E7562">
        <w:t xml:space="preserve"> S</w:t>
      </w:r>
      <w:r w:rsidR="008D19D4">
        <w:t> </w:t>
      </w:r>
      <w:r w:rsidR="003E7562">
        <w:t xml:space="preserve">corporations, </w:t>
      </w:r>
      <w:r w:rsidRPr="00785CA3">
        <w:t>regular corporations, and limited liability companies.</w:t>
      </w:r>
      <w:r w:rsidR="003E7562">
        <w:t xml:space="preserve"> Key topics include the changes due to </w:t>
      </w:r>
      <w:r w:rsidR="00235988">
        <w:t xml:space="preserve">the </w:t>
      </w:r>
      <w:r w:rsidR="003E7562">
        <w:t xml:space="preserve">TCJA of 2017 and how they affect </w:t>
      </w:r>
      <w:r w:rsidR="00A859B0">
        <w:t xml:space="preserve">both </w:t>
      </w:r>
      <w:r w:rsidR="003E7562">
        <w:t xml:space="preserve">tax liabilities </w:t>
      </w:r>
      <w:r w:rsidR="00A859B0">
        <w:t>and tax</w:t>
      </w:r>
      <w:r w:rsidR="003E7562">
        <w:t xml:space="preserve"> planning, </w:t>
      </w:r>
      <w:r w:rsidR="00A859B0">
        <w:t>including</w:t>
      </w:r>
      <w:r w:rsidR="003E7562">
        <w:t xml:space="preserve"> the form of business organization.</w:t>
      </w:r>
      <w:r w:rsidR="00084DF0" w:rsidRPr="00785CA3">
        <w:t xml:space="preserve"> </w:t>
      </w:r>
    </w:p>
    <w:p w14:paraId="3BD84598" w14:textId="77777777" w:rsidR="003904E6" w:rsidRPr="00785CA3" w:rsidRDefault="003904E6" w:rsidP="008C0F15"/>
    <w:p w14:paraId="72F2B02F" w14:textId="77777777" w:rsidR="000A4322" w:rsidRPr="00785CA3" w:rsidRDefault="000A4322" w:rsidP="008C0F15">
      <w:pPr>
        <w:rPr>
          <w:b/>
        </w:rPr>
      </w:pPr>
      <w:r w:rsidRPr="00785CA3">
        <w:rPr>
          <w:b/>
        </w:rPr>
        <w:t>SUMMARY OF CHANGES IN THE CHAPTER</w:t>
      </w:r>
    </w:p>
    <w:p w14:paraId="635DDE5A" w14:textId="77777777" w:rsidR="00644068" w:rsidRPr="00785CA3" w:rsidRDefault="00644068" w:rsidP="008C0F15"/>
    <w:p w14:paraId="15717E0F" w14:textId="0E8ED166" w:rsidR="009D6410" w:rsidRPr="00785CA3" w:rsidRDefault="009D6410" w:rsidP="008C0F15">
      <w:r w:rsidRPr="00785CA3">
        <w:t xml:space="preserve">The following </w:t>
      </w:r>
      <w:r w:rsidR="00090BB6">
        <w:t>are</w:t>
      </w:r>
      <w:r w:rsidRPr="00785CA3">
        <w:t xml:space="preserve"> notable change</w:t>
      </w:r>
      <w:r w:rsidR="00090BB6">
        <w:t>s</w:t>
      </w:r>
      <w:r w:rsidRPr="00785CA3">
        <w:t xml:space="preserve"> in th</w:t>
      </w:r>
      <w:r w:rsidR="00720EF1">
        <w:t xml:space="preserve">e chapter from the </w:t>
      </w:r>
      <w:r w:rsidR="00005165">
        <w:t xml:space="preserve">2020 </w:t>
      </w:r>
      <w:r w:rsidR="003D676A">
        <w:t xml:space="preserve">Edition. </w:t>
      </w:r>
    </w:p>
    <w:p w14:paraId="1853D3C5" w14:textId="3292F291" w:rsidR="00005165" w:rsidRDefault="00005165" w:rsidP="00356A40">
      <w:pPr>
        <w:pStyle w:val="ListParagraph"/>
        <w:numPr>
          <w:ilvl w:val="0"/>
          <w:numId w:val="40"/>
        </w:numPr>
        <w:ind w:hanging="720"/>
      </w:pPr>
      <w:r>
        <w:t>Added materials related to reporting the QBI deduction (new text Section 2-3h), including an example illustrating the completion of Form 8995–A and Schedule A (Form 8995–A).</w:t>
      </w:r>
    </w:p>
    <w:p w14:paraId="6DBDA96B" w14:textId="78675FDF" w:rsidR="00005165" w:rsidRDefault="00005165" w:rsidP="00356A40">
      <w:pPr>
        <w:pStyle w:val="ListParagraph"/>
        <w:numPr>
          <w:ilvl w:val="0"/>
          <w:numId w:val="40"/>
        </w:numPr>
        <w:ind w:hanging="720"/>
      </w:pPr>
      <w:r>
        <w:t xml:space="preserve">Updated chapter materials for new rulings and procedures, including the § 199A real estate safe harbor in </w:t>
      </w:r>
      <w:proofErr w:type="spellStart"/>
      <w:r>
        <w:t>Rev.Proc</w:t>
      </w:r>
      <w:proofErr w:type="spellEnd"/>
      <w:r>
        <w:t>. 2019–38.</w:t>
      </w:r>
    </w:p>
    <w:p w14:paraId="0AE2BDC1" w14:textId="3DB2D4DB" w:rsidR="00005165" w:rsidRDefault="00005165" w:rsidP="00356A40">
      <w:pPr>
        <w:pStyle w:val="ListParagraph"/>
        <w:numPr>
          <w:ilvl w:val="0"/>
          <w:numId w:val="40"/>
        </w:numPr>
        <w:ind w:hanging="720"/>
      </w:pPr>
      <w:r>
        <w:t>Revised and clarified materials based on feedback from adopters.</w:t>
      </w:r>
    </w:p>
    <w:p w14:paraId="1ABC426B" w14:textId="191811A1" w:rsidR="00005165" w:rsidRDefault="00005165" w:rsidP="00356A40">
      <w:pPr>
        <w:pStyle w:val="ListParagraph"/>
        <w:numPr>
          <w:ilvl w:val="0"/>
          <w:numId w:val="40"/>
        </w:numPr>
        <w:ind w:hanging="720"/>
      </w:pPr>
      <w:r>
        <w:t>Added a forms completion requirement (new Form 8995) to a problem.</w:t>
      </w:r>
    </w:p>
    <w:p w14:paraId="6B470177" w14:textId="4B6902FD" w:rsidR="00005165" w:rsidRDefault="00005165" w:rsidP="00356A40">
      <w:pPr>
        <w:pStyle w:val="ListParagraph"/>
        <w:numPr>
          <w:ilvl w:val="0"/>
          <w:numId w:val="40"/>
        </w:numPr>
        <w:ind w:hanging="720"/>
      </w:pPr>
      <w:r>
        <w:t>Expanded a problem to include a computation of the taxpayer’s marginal tax rate when the taxpayer is in the QBI deduction phaseout range.</w:t>
      </w:r>
    </w:p>
    <w:p w14:paraId="418A7417" w14:textId="16A471EA" w:rsidR="00005165" w:rsidRDefault="00005165" w:rsidP="00356A40">
      <w:pPr>
        <w:pStyle w:val="ListParagraph"/>
        <w:numPr>
          <w:ilvl w:val="0"/>
          <w:numId w:val="40"/>
        </w:numPr>
        <w:ind w:hanging="720"/>
      </w:pPr>
      <w:r>
        <w:t>Updated balance of end-of-chapter materials as needed (including revisions for inflation adjustments to threshold limits).</w:t>
      </w:r>
    </w:p>
    <w:p w14:paraId="6C036E6B" w14:textId="1FBCABE6" w:rsidR="00C12ADE" w:rsidRDefault="00C12ADE" w:rsidP="00C12ADE">
      <w:pPr>
        <w:rPr>
          <w:b/>
        </w:rPr>
      </w:pPr>
    </w:p>
    <w:p w14:paraId="241B57AB" w14:textId="77777777" w:rsidR="00D6028A" w:rsidRDefault="00D6028A" w:rsidP="00C12ADE">
      <w:pPr>
        <w:rPr>
          <w:b/>
        </w:rPr>
      </w:pPr>
    </w:p>
    <w:p w14:paraId="5AAFFBDA" w14:textId="77777777" w:rsidR="00C12ADE" w:rsidRPr="00C12ADE" w:rsidRDefault="00C12ADE" w:rsidP="00C12ADE">
      <w:pPr>
        <w:pStyle w:val="Heading3"/>
        <w:pBdr>
          <w:top w:val="double" w:sz="6" w:space="0" w:color="000000"/>
          <w:bottom w:val="double" w:sz="6" w:space="0" w:color="000000"/>
        </w:pBdr>
        <w:shd w:val="pct10" w:color="auto" w:fill="auto"/>
        <w:spacing w:line="240" w:lineRule="auto"/>
        <w:ind w:left="0"/>
        <w:rPr>
          <w:position w:val="12"/>
        </w:rPr>
      </w:pPr>
      <w:r w:rsidRPr="00C12ADE">
        <w:rPr>
          <w:position w:val="12"/>
        </w:rPr>
        <w:t>THE BIG PICTURE</w:t>
      </w:r>
    </w:p>
    <w:p w14:paraId="2C5DB323" w14:textId="77777777" w:rsidR="00C12ADE" w:rsidRPr="00D6028A" w:rsidRDefault="00C12ADE" w:rsidP="00C12ADE">
      <w:pPr>
        <w:rPr>
          <w:b/>
          <w:szCs w:val="20"/>
          <w:u w:val="single"/>
        </w:rPr>
      </w:pPr>
    </w:p>
    <w:p w14:paraId="03EBF5F0" w14:textId="0DDA3D64" w:rsidR="00D6028A" w:rsidRDefault="00D6028A" w:rsidP="00D6028A">
      <w:pPr>
        <w:pStyle w:val="ListParagraph"/>
        <w:ind w:left="0"/>
      </w:pPr>
      <w:r>
        <w:t>When Amy graduates from college, she plans to use her knowledge to start businesses. She will generate income from advertising on her social media sites and will use her artistic and marketing talents to find work using several web platforms. Amy is wondering if she should form a corporation or a limited liability company or just be a sole proprietor. She is also curious whether, for tax and legal purposes, she should set her activities up as one business or two.</w:t>
      </w:r>
    </w:p>
    <w:p w14:paraId="7DBACCBC" w14:textId="77777777" w:rsidR="00D6028A" w:rsidRDefault="00D6028A" w:rsidP="00D6028A">
      <w:pPr>
        <w:pStyle w:val="ListParagraph"/>
        <w:ind w:left="0"/>
      </w:pPr>
    </w:p>
    <w:p w14:paraId="348F0AF3" w14:textId="05D4AAE0" w:rsidR="00C12ADE" w:rsidRPr="00785CA3" w:rsidRDefault="00D6028A" w:rsidP="00D6028A">
      <w:pPr>
        <w:pStyle w:val="ListParagraph"/>
        <w:ind w:left="0"/>
        <w:rPr>
          <w:b/>
        </w:rPr>
      </w:pPr>
      <w:r>
        <w:t>After reading this chapter, you can help Amy with her questions, including aiding her in better framing the questions should she decide to seek assistance from an attorney on business entity formation matters, or a CPA for tax and accounting assistance.</w:t>
      </w:r>
    </w:p>
    <w:p w14:paraId="6039B9AB" w14:textId="77777777" w:rsidR="00C12ADE" w:rsidRPr="00D74EC0" w:rsidRDefault="00C12ADE" w:rsidP="00C12ADE">
      <w:pPr>
        <w:pBdr>
          <w:bottom w:val="double" w:sz="4" w:space="1" w:color="auto"/>
        </w:pBdr>
        <w:jc w:val="both"/>
      </w:pPr>
    </w:p>
    <w:p w14:paraId="3FC72F0C" w14:textId="77777777" w:rsidR="009A7B09" w:rsidRPr="00785CA3" w:rsidRDefault="009A7B09" w:rsidP="008C0F15">
      <w:pPr>
        <w:tabs>
          <w:tab w:val="left" w:pos="0"/>
        </w:tabs>
        <w:jc w:val="both"/>
        <w:rPr>
          <w:b/>
        </w:rPr>
      </w:pPr>
    </w:p>
    <w:p w14:paraId="346AB9A0" w14:textId="77777777" w:rsidR="00356A40" w:rsidRDefault="00356A40" w:rsidP="00356A40">
      <w:pPr>
        <w:rPr>
          <w:b/>
        </w:rPr>
      </w:pPr>
    </w:p>
    <w:p w14:paraId="5764B2D4" w14:textId="399C18A8" w:rsidR="00775555" w:rsidRPr="00785CA3" w:rsidRDefault="00775555" w:rsidP="00356A40">
      <w:pPr>
        <w:rPr>
          <w:b/>
        </w:rPr>
      </w:pPr>
      <w:r w:rsidRPr="00785CA3">
        <w:rPr>
          <w:b/>
        </w:rPr>
        <w:t>TAX TREATMENT OF VARIOUS BUSINESS FORMS</w:t>
      </w:r>
    </w:p>
    <w:p w14:paraId="4D2D5631" w14:textId="77777777" w:rsidR="00775555" w:rsidRPr="00785CA3" w:rsidRDefault="00775555" w:rsidP="008C0F15"/>
    <w:p w14:paraId="5F507435" w14:textId="213F589D" w:rsidR="00F36F86" w:rsidRDefault="00775555" w:rsidP="008C0F15">
      <w:pPr>
        <w:pStyle w:val="mainanswerparagraph"/>
        <w:spacing w:line="240" w:lineRule="auto"/>
        <w:jc w:val="left"/>
        <w:rPr>
          <w:rFonts w:ascii="Times New Roman" w:hAnsi="Times New Roman"/>
          <w:sz w:val="24"/>
        </w:rPr>
      </w:pPr>
      <w:r w:rsidRPr="00785CA3">
        <w:rPr>
          <w:rFonts w:ascii="Times New Roman" w:hAnsi="Times New Roman"/>
          <w:sz w:val="24"/>
        </w:rPr>
        <w:t>1.</w:t>
      </w:r>
      <w:r w:rsidRPr="00785CA3">
        <w:rPr>
          <w:rFonts w:ascii="Times New Roman" w:hAnsi="Times New Roman"/>
          <w:sz w:val="24"/>
        </w:rPr>
        <w:tab/>
      </w:r>
      <w:r w:rsidR="00F36F86" w:rsidRPr="00785CA3">
        <w:rPr>
          <w:rFonts w:ascii="Times New Roman" w:hAnsi="Times New Roman"/>
          <w:sz w:val="24"/>
        </w:rPr>
        <w:t>Business forms include sole proprietorships, partnerships</w:t>
      </w:r>
      <w:r w:rsidR="00EE6925" w:rsidRPr="00785CA3">
        <w:rPr>
          <w:rFonts w:ascii="Times New Roman" w:hAnsi="Times New Roman"/>
          <w:sz w:val="24"/>
        </w:rPr>
        <w:t xml:space="preserve"> </w:t>
      </w:r>
      <w:r w:rsidR="005C654C" w:rsidRPr="00785CA3">
        <w:rPr>
          <w:rFonts w:ascii="Times New Roman" w:hAnsi="Times New Roman"/>
          <w:sz w:val="24"/>
        </w:rPr>
        <w:t>(covered in Chapters 10 and 11)</w:t>
      </w:r>
      <w:r w:rsidR="00F36F86" w:rsidRPr="00785CA3">
        <w:rPr>
          <w:rFonts w:ascii="Times New Roman" w:hAnsi="Times New Roman"/>
          <w:sz w:val="24"/>
        </w:rPr>
        <w:t xml:space="preserve">, </w:t>
      </w:r>
      <w:r w:rsidR="00A859B0">
        <w:rPr>
          <w:rFonts w:ascii="Times New Roman" w:hAnsi="Times New Roman"/>
          <w:sz w:val="24"/>
        </w:rPr>
        <w:t>trusts and estates</w:t>
      </w:r>
      <w:r w:rsidR="0050210C">
        <w:rPr>
          <w:rFonts w:ascii="Times New Roman" w:hAnsi="Times New Roman"/>
          <w:sz w:val="24"/>
        </w:rPr>
        <w:t xml:space="preserve"> (covered in Chapter 20)</w:t>
      </w:r>
      <w:r w:rsidR="00A859B0">
        <w:rPr>
          <w:rFonts w:ascii="Times New Roman" w:hAnsi="Times New Roman"/>
          <w:sz w:val="24"/>
        </w:rPr>
        <w:t xml:space="preserve">, </w:t>
      </w:r>
      <w:r w:rsidR="00F36F86" w:rsidRPr="00785CA3">
        <w:rPr>
          <w:rFonts w:ascii="Times New Roman" w:hAnsi="Times New Roman"/>
          <w:sz w:val="24"/>
        </w:rPr>
        <w:t>S corporations</w:t>
      </w:r>
      <w:r w:rsidR="005C654C" w:rsidRPr="00785CA3">
        <w:rPr>
          <w:rFonts w:ascii="Times New Roman" w:hAnsi="Times New Roman"/>
          <w:sz w:val="24"/>
        </w:rPr>
        <w:t xml:space="preserve"> (covered in Chapter 12)</w:t>
      </w:r>
      <w:r w:rsidR="00F36F86" w:rsidRPr="00785CA3">
        <w:rPr>
          <w:rFonts w:ascii="Times New Roman" w:hAnsi="Times New Roman"/>
          <w:sz w:val="24"/>
        </w:rPr>
        <w:t>, regular corporations</w:t>
      </w:r>
      <w:r w:rsidR="00BC1454" w:rsidRPr="00785CA3">
        <w:rPr>
          <w:rFonts w:ascii="Times New Roman" w:hAnsi="Times New Roman"/>
          <w:sz w:val="24"/>
        </w:rPr>
        <w:t>, and limited liability companies</w:t>
      </w:r>
      <w:r w:rsidR="00F36F86" w:rsidRPr="00785CA3">
        <w:rPr>
          <w:rFonts w:ascii="Times New Roman" w:hAnsi="Times New Roman"/>
          <w:sz w:val="24"/>
        </w:rPr>
        <w:t>.</w:t>
      </w:r>
    </w:p>
    <w:p w14:paraId="332B6712" w14:textId="596CE72B" w:rsidR="00ED7A02" w:rsidRDefault="00ED7A02" w:rsidP="008C0F15">
      <w:pPr>
        <w:pStyle w:val="mainanswerparagraph"/>
        <w:spacing w:line="240" w:lineRule="auto"/>
        <w:jc w:val="left"/>
        <w:rPr>
          <w:rFonts w:ascii="Times New Roman" w:hAnsi="Times New Roman"/>
          <w:sz w:val="24"/>
        </w:rPr>
      </w:pPr>
    </w:p>
    <w:p w14:paraId="50B110A6" w14:textId="0046B76F" w:rsidR="00ED7A02" w:rsidRDefault="00ED7A02" w:rsidP="000C579A">
      <w:pPr>
        <w:pStyle w:val="mainanswerparagraph"/>
        <w:spacing w:line="240" w:lineRule="auto"/>
        <w:jc w:val="left"/>
        <w:rPr>
          <w:rFonts w:ascii="Times New Roman" w:hAnsi="Times New Roman"/>
          <w:sz w:val="24"/>
        </w:rPr>
      </w:pPr>
      <w:r>
        <w:rPr>
          <w:rFonts w:ascii="Times New Roman" w:hAnsi="Times New Roman"/>
          <w:sz w:val="24"/>
        </w:rPr>
        <w:t>2.</w:t>
      </w:r>
      <w:r>
        <w:rPr>
          <w:rFonts w:ascii="Times New Roman" w:hAnsi="Times New Roman"/>
          <w:sz w:val="24"/>
        </w:rPr>
        <w:tab/>
      </w:r>
      <w:r w:rsidRPr="00ED7A02">
        <w:rPr>
          <w:rFonts w:ascii="Times New Roman" w:hAnsi="Times New Roman"/>
          <w:sz w:val="24"/>
        </w:rPr>
        <w:t>A key piece of the TCJA of 2017 was to</w:t>
      </w:r>
      <w:r>
        <w:rPr>
          <w:rFonts w:ascii="Times New Roman" w:hAnsi="Times New Roman"/>
          <w:sz w:val="24"/>
        </w:rPr>
        <w:t xml:space="preserve"> </w:t>
      </w:r>
      <w:r w:rsidRPr="00ED7A02">
        <w:rPr>
          <w:rFonts w:ascii="Times New Roman" w:hAnsi="Times New Roman"/>
          <w:sz w:val="24"/>
        </w:rPr>
        <w:t>lower the corporate income tax rate from a progressive tax rate structure (with rates</w:t>
      </w:r>
      <w:r>
        <w:rPr>
          <w:rFonts w:ascii="Times New Roman" w:hAnsi="Times New Roman"/>
          <w:sz w:val="24"/>
        </w:rPr>
        <w:t xml:space="preserve"> </w:t>
      </w:r>
      <w:r w:rsidRPr="00ED7A02">
        <w:rPr>
          <w:rFonts w:ascii="Times New Roman" w:hAnsi="Times New Roman"/>
          <w:sz w:val="24"/>
        </w:rPr>
        <w:t>from 15</w:t>
      </w:r>
      <w:r w:rsidR="00C36BD1">
        <w:rPr>
          <w:rFonts w:ascii="Times New Roman" w:hAnsi="Times New Roman"/>
          <w:sz w:val="24"/>
        </w:rPr>
        <w:t>%</w:t>
      </w:r>
      <w:r w:rsidRPr="00ED7A02">
        <w:rPr>
          <w:rFonts w:ascii="Times New Roman" w:hAnsi="Times New Roman"/>
          <w:sz w:val="24"/>
        </w:rPr>
        <w:t xml:space="preserve"> to 35</w:t>
      </w:r>
      <w:r w:rsidR="00C36BD1">
        <w:rPr>
          <w:rFonts w:ascii="Times New Roman" w:hAnsi="Times New Roman"/>
          <w:sz w:val="24"/>
        </w:rPr>
        <w:t>%</w:t>
      </w:r>
      <w:r w:rsidRPr="00ED7A02">
        <w:rPr>
          <w:rFonts w:ascii="Times New Roman" w:hAnsi="Times New Roman"/>
          <w:sz w:val="24"/>
        </w:rPr>
        <w:t>) to a flat tax of 21</w:t>
      </w:r>
      <w:r w:rsidR="00C36BD1">
        <w:rPr>
          <w:rFonts w:ascii="Times New Roman" w:hAnsi="Times New Roman"/>
          <w:sz w:val="24"/>
        </w:rPr>
        <w:t>%</w:t>
      </w:r>
      <w:r w:rsidRPr="00ED7A02">
        <w:rPr>
          <w:rFonts w:ascii="Times New Roman" w:hAnsi="Times New Roman"/>
          <w:sz w:val="24"/>
        </w:rPr>
        <w:t xml:space="preserve">. </w:t>
      </w:r>
    </w:p>
    <w:p w14:paraId="2498BDAB" w14:textId="77777777" w:rsidR="00ED7A02" w:rsidRDefault="00ED7A02" w:rsidP="00ED7A02">
      <w:pPr>
        <w:pStyle w:val="mainanswerparagraph"/>
        <w:rPr>
          <w:rFonts w:ascii="Times New Roman" w:hAnsi="Times New Roman"/>
          <w:sz w:val="24"/>
        </w:rPr>
      </w:pPr>
    </w:p>
    <w:p w14:paraId="41ED472B" w14:textId="42AAF5D2" w:rsidR="00ED7A02" w:rsidRDefault="00ED7A02" w:rsidP="000C579A">
      <w:pPr>
        <w:pStyle w:val="mainanswerparagraph"/>
        <w:spacing w:line="240" w:lineRule="auto"/>
        <w:jc w:val="left"/>
        <w:rPr>
          <w:rFonts w:ascii="Times New Roman" w:hAnsi="Times New Roman"/>
          <w:sz w:val="24"/>
        </w:rPr>
      </w:pPr>
      <w:r>
        <w:rPr>
          <w:rFonts w:ascii="Times New Roman" w:hAnsi="Times New Roman"/>
          <w:sz w:val="24"/>
        </w:rPr>
        <w:t>3.</w:t>
      </w:r>
      <w:r>
        <w:rPr>
          <w:rFonts w:ascii="Times New Roman" w:hAnsi="Times New Roman"/>
          <w:sz w:val="24"/>
        </w:rPr>
        <w:tab/>
        <w:t>F</w:t>
      </w:r>
      <w:r w:rsidRPr="00ED7A02">
        <w:rPr>
          <w:rFonts w:ascii="Times New Roman" w:hAnsi="Times New Roman"/>
          <w:sz w:val="24"/>
        </w:rPr>
        <w:t xml:space="preserve">or businesses that do not operate as regular corporations, the TCJA of 2017 </w:t>
      </w:r>
      <w:r w:rsidR="00C36BD1">
        <w:rPr>
          <w:rFonts w:ascii="Times New Roman" w:hAnsi="Times New Roman"/>
          <w:sz w:val="24"/>
        </w:rPr>
        <w:t xml:space="preserve">created </w:t>
      </w:r>
      <w:r w:rsidRPr="00ED7A02">
        <w:rPr>
          <w:rFonts w:ascii="Times New Roman" w:hAnsi="Times New Roman"/>
          <w:sz w:val="24"/>
        </w:rPr>
        <w:t>a special deduction for noncorporate taxpayers with business income.</w:t>
      </w:r>
    </w:p>
    <w:p w14:paraId="18687B30" w14:textId="77777777" w:rsidR="001B6956" w:rsidRPr="00785CA3" w:rsidRDefault="001B6956" w:rsidP="008C0F15">
      <w:pPr>
        <w:pStyle w:val="mainanswerparagraph"/>
        <w:spacing w:line="240" w:lineRule="auto"/>
        <w:jc w:val="left"/>
        <w:rPr>
          <w:rFonts w:ascii="Times New Roman" w:hAnsi="Times New Roman"/>
          <w:sz w:val="24"/>
        </w:rPr>
      </w:pPr>
    </w:p>
    <w:p w14:paraId="548B83F8" w14:textId="77777777" w:rsidR="009B2C73" w:rsidRPr="00785CA3" w:rsidRDefault="009B2C73" w:rsidP="008C0F15">
      <w:pPr>
        <w:pStyle w:val="Subpartsanswer"/>
        <w:keepNext/>
        <w:tabs>
          <w:tab w:val="clear" w:pos="576"/>
          <w:tab w:val="clear" w:pos="1296"/>
          <w:tab w:val="left" w:pos="1440"/>
        </w:tabs>
        <w:spacing w:line="240" w:lineRule="auto"/>
        <w:ind w:left="1440" w:hanging="1440"/>
        <w:jc w:val="left"/>
        <w:rPr>
          <w:rFonts w:ascii="Times New Roman" w:hAnsi="Times New Roman"/>
          <w:b/>
          <w:sz w:val="24"/>
        </w:rPr>
      </w:pPr>
      <w:r w:rsidRPr="00785CA3">
        <w:rPr>
          <w:rFonts w:ascii="Times New Roman" w:hAnsi="Times New Roman"/>
          <w:b/>
          <w:sz w:val="24"/>
        </w:rPr>
        <w:t>Sole Proprietorship</w:t>
      </w:r>
      <w:r w:rsidR="00BC1454" w:rsidRPr="00785CA3">
        <w:rPr>
          <w:rFonts w:ascii="Times New Roman" w:hAnsi="Times New Roman"/>
          <w:b/>
          <w:sz w:val="24"/>
        </w:rPr>
        <w:t>s</w:t>
      </w:r>
    </w:p>
    <w:p w14:paraId="0752A62D" w14:textId="77777777" w:rsidR="00733ECA" w:rsidRPr="00785CA3" w:rsidRDefault="00733ECA" w:rsidP="008C0F15">
      <w:pPr>
        <w:pStyle w:val="Subpartsanswer"/>
        <w:keepNext/>
        <w:tabs>
          <w:tab w:val="clear" w:pos="576"/>
          <w:tab w:val="clear" w:pos="1296"/>
          <w:tab w:val="left" w:pos="1440"/>
        </w:tabs>
        <w:spacing w:line="240" w:lineRule="auto"/>
        <w:ind w:left="1440" w:hanging="1440"/>
        <w:jc w:val="left"/>
        <w:rPr>
          <w:rFonts w:ascii="Times New Roman" w:hAnsi="Times New Roman"/>
          <w:b/>
          <w:sz w:val="24"/>
        </w:rPr>
      </w:pPr>
    </w:p>
    <w:p w14:paraId="08BDC11A" w14:textId="698775F1" w:rsidR="00775555" w:rsidRPr="00785CA3" w:rsidRDefault="00ED7A02" w:rsidP="008C0F15">
      <w:pPr>
        <w:pStyle w:val="Subpartsanswer"/>
        <w:tabs>
          <w:tab w:val="clear" w:pos="576"/>
          <w:tab w:val="clear" w:pos="1296"/>
        </w:tabs>
        <w:spacing w:line="240" w:lineRule="auto"/>
        <w:ind w:left="720" w:hanging="720"/>
        <w:jc w:val="left"/>
        <w:rPr>
          <w:rFonts w:ascii="Times New Roman" w:hAnsi="Times New Roman"/>
          <w:sz w:val="24"/>
        </w:rPr>
      </w:pPr>
      <w:r>
        <w:rPr>
          <w:rFonts w:ascii="Times New Roman" w:hAnsi="Times New Roman"/>
          <w:sz w:val="24"/>
        </w:rPr>
        <w:t>4</w:t>
      </w:r>
      <w:r w:rsidR="009B2C73" w:rsidRPr="00785CA3">
        <w:rPr>
          <w:rFonts w:ascii="Times New Roman" w:hAnsi="Times New Roman"/>
          <w:sz w:val="24"/>
        </w:rPr>
        <w:t>.</w:t>
      </w:r>
      <w:r w:rsidR="009B2C73" w:rsidRPr="00785CA3">
        <w:rPr>
          <w:rFonts w:ascii="Times New Roman" w:hAnsi="Times New Roman"/>
          <w:b/>
          <w:sz w:val="24"/>
        </w:rPr>
        <w:tab/>
      </w:r>
      <w:r w:rsidR="00FB705B" w:rsidRPr="00785CA3">
        <w:rPr>
          <w:rFonts w:ascii="Times New Roman" w:hAnsi="Times New Roman"/>
          <w:sz w:val="24"/>
        </w:rPr>
        <w:t>A</w:t>
      </w:r>
      <w:r w:rsidR="00FB705B" w:rsidRPr="00785CA3">
        <w:rPr>
          <w:rFonts w:ascii="Times New Roman" w:hAnsi="Times New Roman"/>
          <w:b/>
          <w:sz w:val="24"/>
        </w:rPr>
        <w:t xml:space="preserve"> </w:t>
      </w:r>
      <w:r w:rsidR="00FB705B" w:rsidRPr="008A08F7">
        <w:rPr>
          <w:rFonts w:ascii="Times New Roman" w:hAnsi="Times New Roman"/>
          <w:sz w:val="24"/>
        </w:rPr>
        <w:t>s</w:t>
      </w:r>
      <w:r w:rsidR="00775555" w:rsidRPr="00785CA3">
        <w:rPr>
          <w:rFonts w:ascii="Times New Roman" w:hAnsi="Times New Roman"/>
          <w:sz w:val="24"/>
        </w:rPr>
        <w:t xml:space="preserve">ole proprietorship is not a </w:t>
      </w:r>
      <w:r w:rsidR="002A4258" w:rsidRPr="00785CA3">
        <w:rPr>
          <w:rFonts w:ascii="Times New Roman" w:hAnsi="Times New Roman"/>
          <w:sz w:val="24"/>
        </w:rPr>
        <w:t xml:space="preserve">separate </w:t>
      </w:r>
      <w:r w:rsidR="00775555" w:rsidRPr="00785CA3">
        <w:rPr>
          <w:rFonts w:ascii="Times New Roman" w:hAnsi="Times New Roman"/>
          <w:sz w:val="24"/>
        </w:rPr>
        <w:t>taxable entity.</w:t>
      </w:r>
      <w:r w:rsidR="00536955" w:rsidRPr="00785CA3">
        <w:rPr>
          <w:rFonts w:ascii="Times New Roman" w:hAnsi="Times New Roman"/>
          <w:sz w:val="24"/>
        </w:rPr>
        <w:t xml:space="preserve"> </w:t>
      </w:r>
      <w:r w:rsidR="00775555" w:rsidRPr="00785CA3">
        <w:rPr>
          <w:rFonts w:ascii="Times New Roman" w:hAnsi="Times New Roman"/>
          <w:sz w:val="24"/>
        </w:rPr>
        <w:t>Net income or loss from the proprietorship is computed on Schedule C</w:t>
      </w:r>
      <w:r w:rsidR="00FB705B" w:rsidRPr="00785CA3">
        <w:rPr>
          <w:rFonts w:ascii="Times New Roman" w:hAnsi="Times New Roman"/>
          <w:sz w:val="24"/>
        </w:rPr>
        <w:t xml:space="preserve"> and reported as part of the </w:t>
      </w:r>
      <w:r w:rsidR="004E1001" w:rsidRPr="00785CA3">
        <w:rPr>
          <w:rFonts w:ascii="Times New Roman" w:hAnsi="Times New Roman"/>
          <w:sz w:val="24"/>
        </w:rPr>
        <w:t xml:space="preserve">proprietor’s </w:t>
      </w:r>
      <w:r w:rsidR="00FB705B" w:rsidRPr="00785CA3">
        <w:rPr>
          <w:rFonts w:ascii="Times New Roman" w:hAnsi="Times New Roman"/>
          <w:sz w:val="24"/>
        </w:rPr>
        <w:t xml:space="preserve">income </w:t>
      </w:r>
      <w:r w:rsidR="004E1001" w:rsidRPr="00785CA3">
        <w:rPr>
          <w:rFonts w:ascii="Times New Roman" w:hAnsi="Times New Roman"/>
          <w:sz w:val="24"/>
        </w:rPr>
        <w:t xml:space="preserve">on </w:t>
      </w:r>
      <w:r w:rsidR="00FB705B" w:rsidRPr="00785CA3">
        <w:rPr>
          <w:rFonts w:ascii="Times New Roman" w:hAnsi="Times New Roman"/>
          <w:sz w:val="24"/>
        </w:rPr>
        <w:t>Form 1040</w:t>
      </w:r>
      <w:r w:rsidR="00775555" w:rsidRPr="00785CA3">
        <w:rPr>
          <w:rFonts w:ascii="Times New Roman" w:hAnsi="Times New Roman"/>
          <w:sz w:val="24"/>
        </w:rPr>
        <w:t>.</w:t>
      </w:r>
      <w:r w:rsidR="00536955" w:rsidRPr="00785CA3">
        <w:rPr>
          <w:rFonts w:ascii="Times New Roman" w:hAnsi="Times New Roman"/>
          <w:sz w:val="24"/>
        </w:rPr>
        <w:t xml:space="preserve"> </w:t>
      </w:r>
      <w:r w:rsidR="00775555" w:rsidRPr="00785CA3">
        <w:rPr>
          <w:rFonts w:ascii="Times New Roman" w:hAnsi="Times New Roman"/>
          <w:sz w:val="24"/>
        </w:rPr>
        <w:t>Thus, the proprietor pays tax on the profits of the proprietorship.</w:t>
      </w:r>
    </w:p>
    <w:p w14:paraId="6AD400EB" w14:textId="77777777" w:rsidR="00CE4B7B" w:rsidRPr="00785CA3" w:rsidRDefault="00CE4B7B" w:rsidP="008C0F15">
      <w:pPr>
        <w:pStyle w:val="Subpartsanswer"/>
        <w:tabs>
          <w:tab w:val="clear" w:pos="576"/>
          <w:tab w:val="clear" w:pos="1296"/>
        </w:tabs>
        <w:spacing w:line="240" w:lineRule="auto"/>
        <w:ind w:left="0" w:firstLine="0"/>
        <w:jc w:val="left"/>
        <w:rPr>
          <w:rFonts w:ascii="Times New Roman" w:hAnsi="Times New Roman"/>
          <w:sz w:val="24"/>
        </w:rPr>
      </w:pPr>
    </w:p>
    <w:p w14:paraId="72A5B11F" w14:textId="2877C693" w:rsidR="004B2837" w:rsidRPr="00785CA3" w:rsidRDefault="00ED7A02" w:rsidP="008C0F15">
      <w:pPr>
        <w:pStyle w:val="Subpartsanswer"/>
        <w:tabs>
          <w:tab w:val="clear" w:pos="576"/>
          <w:tab w:val="clear" w:pos="1296"/>
        </w:tabs>
        <w:spacing w:line="240" w:lineRule="auto"/>
        <w:ind w:left="720" w:hanging="720"/>
        <w:jc w:val="left"/>
        <w:rPr>
          <w:rFonts w:ascii="Times New Roman" w:hAnsi="Times New Roman"/>
          <w:sz w:val="24"/>
        </w:rPr>
      </w:pPr>
      <w:r>
        <w:rPr>
          <w:rFonts w:ascii="Times New Roman" w:hAnsi="Times New Roman"/>
          <w:sz w:val="24"/>
        </w:rPr>
        <w:t>5</w:t>
      </w:r>
      <w:r w:rsidR="004B2837" w:rsidRPr="00785CA3">
        <w:rPr>
          <w:rFonts w:ascii="Times New Roman" w:hAnsi="Times New Roman"/>
          <w:sz w:val="24"/>
        </w:rPr>
        <w:t>.</w:t>
      </w:r>
      <w:r w:rsidR="004B2837" w:rsidRPr="00785CA3">
        <w:rPr>
          <w:rFonts w:ascii="Times New Roman" w:hAnsi="Times New Roman"/>
          <w:sz w:val="24"/>
        </w:rPr>
        <w:tab/>
        <w:t>The proprietor reports all the net profit from the business, regardless of the amount actually withdrawn during the year.</w:t>
      </w:r>
    </w:p>
    <w:p w14:paraId="6BB8BF7C" w14:textId="77777777" w:rsidR="00CE4B7B" w:rsidRPr="00785CA3" w:rsidRDefault="00CE4B7B" w:rsidP="008C0F15">
      <w:pPr>
        <w:pStyle w:val="Subpartsanswer"/>
        <w:tabs>
          <w:tab w:val="clear" w:pos="576"/>
          <w:tab w:val="clear" w:pos="1296"/>
        </w:tabs>
        <w:spacing w:line="240" w:lineRule="auto"/>
        <w:ind w:left="720" w:hanging="720"/>
        <w:jc w:val="left"/>
        <w:rPr>
          <w:rFonts w:ascii="Times New Roman" w:hAnsi="Times New Roman"/>
          <w:sz w:val="24"/>
        </w:rPr>
      </w:pPr>
    </w:p>
    <w:p w14:paraId="5988F8AF" w14:textId="3A806C79" w:rsidR="004B2837" w:rsidRPr="00785CA3" w:rsidRDefault="00ED7A02" w:rsidP="008C0F15">
      <w:pPr>
        <w:pStyle w:val="Subpartsanswer"/>
        <w:tabs>
          <w:tab w:val="clear" w:pos="576"/>
          <w:tab w:val="clear" w:pos="1296"/>
        </w:tabs>
        <w:spacing w:line="240" w:lineRule="auto"/>
        <w:ind w:left="720" w:hanging="720"/>
        <w:jc w:val="left"/>
        <w:rPr>
          <w:rFonts w:ascii="Times New Roman" w:hAnsi="Times New Roman"/>
          <w:b/>
          <w:sz w:val="24"/>
        </w:rPr>
      </w:pPr>
      <w:r>
        <w:rPr>
          <w:rFonts w:ascii="Times New Roman" w:hAnsi="Times New Roman"/>
          <w:sz w:val="24"/>
        </w:rPr>
        <w:t>6</w:t>
      </w:r>
      <w:r w:rsidR="004B2837" w:rsidRPr="00785CA3">
        <w:rPr>
          <w:rFonts w:ascii="Times New Roman" w:hAnsi="Times New Roman"/>
          <w:sz w:val="24"/>
        </w:rPr>
        <w:t>.</w:t>
      </w:r>
      <w:r w:rsidR="004B2837" w:rsidRPr="00785CA3">
        <w:rPr>
          <w:rFonts w:ascii="Times New Roman" w:hAnsi="Times New Roman"/>
          <w:sz w:val="24"/>
        </w:rPr>
        <w:tab/>
        <w:t>Income and expenses retain their character when reported by the proprietor.</w:t>
      </w:r>
    </w:p>
    <w:p w14:paraId="57593B0B" w14:textId="77777777" w:rsidR="00235AA6" w:rsidRPr="00785CA3" w:rsidRDefault="00235AA6" w:rsidP="008C0F15">
      <w:pPr>
        <w:pStyle w:val="subquestionpara"/>
        <w:tabs>
          <w:tab w:val="left" w:pos="1440"/>
        </w:tabs>
        <w:spacing w:line="240" w:lineRule="auto"/>
        <w:ind w:left="1440" w:hanging="720"/>
        <w:rPr>
          <w:rFonts w:ascii="Times New Roman" w:hAnsi="Times New Roman"/>
          <w:sz w:val="24"/>
        </w:rPr>
      </w:pPr>
    </w:p>
    <w:p w14:paraId="153AEF5D" w14:textId="58791D7B" w:rsidR="00235AA6" w:rsidRPr="00785CA3" w:rsidRDefault="00235AA6" w:rsidP="008C0F15">
      <w:pPr>
        <w:pStyle w:val="subquestionpara"/>
        <w:tabs>
          <w:tab w:val="left" w:pos="1440"/>
        </w:tabs>
        <w:spacing w:line="240" w:lineRule="auto"/>
        <w:ind w:left="720" w:firstLine="0"/>
        <w:rPr>
          <w:rFonts w:ascii="Times New Roman" w:hAnsi="Times New Roman"/>
          <w:sz w:val="24"/>
        </w:rPr>
      </w:pPr>
      <w:r w:rsidRPr="008A08F7">
        <w:rPr>
          <w:rFonts w:ascii="Times New Roman" w:hAnsi="Times New Roman"/>
          <w:b/>
          <w:sz w:val="24"/>
        </w:rPr>
        <w:t>Example:</w:t>
      </w:r>
      <w:r w:rsidRPr="00785CA3">
        <w:rPr>
          <w:rFonts w:ascii="Times New Roman" w:hAnsi="Times New Roman"/>
          <w:b/>
          <w:sz w:val="24"/>
        </w:rPr>
        <w:t xml:space="preserve"> </w:t>
      </w:r>
      <w:r w:rsidR="00A646B7">
        <w:rPr>
          <w:rFonts w:ascii="Times New Roman" w:hAnsi="Times New Roman"/>
          <w:sz w:val="24"/>
        </w:rPr>
        <w:t>Sean Cooper</w:t>
      </w:r>
      <w:r w:rsidR="00A646B7" w:rsidRPr="008A08F7">
        <w:rPr>
          <w:rFonts w:ascii="Times New Roman" w:hAnsi="Times New Roman"/>
          <w:sz w:val="24"/>
        </w:rPr>
        <w:t xml:space="preserve"> </w:t>
      </w:r>
      <w:r w:rsidRPr="008A08F7">
        <w:rPr>
          <w:rFonts w:ascii="Times New Roman" w:hAnsi="Times New Roman"/>
          <w:sz w:val="24"/>
        </w:rPr>
        <w:t>operates a candy</w:t>
      </w:r>
      <w:r w:rsidRPr="00785CA3">
        <w:rPr>
          <w:rFonts w:ascii="Times New Roman" w:hAnsi="Times New Roman"/>
          <w:sz w:val="24"/>
        </w:rPr>
        <w:t xml:space="preserve"> store as a sole proprietorship. He earned a profit of $75,000 during the year and withdrew $40,000 from the proprietorship. </w:t>
      </w:r>
      <w:r w:rsidR="00A646B7">
        <w:rPr>
          <w:rFonts w:ascii="Times New Roman" w:hAnsi="Times New Roman"/>
          <w:sz w:val="24"/>
        </w:rPr>
        <w:t>Sean</w:t>
      </w:r>
      <w:r w:rsidR="00A646B7" w:rsidRPr="00785CA3">
        <w:rPr>
          <w:rFonts w:ascii="Times New Roman" w:hAnsi="Times New Roman"/>
          <w:sz w:val="24"/>
        </w:rPr>
        <w:t xml:space="preserve"> </w:t>
      </w:r>
      <w:r w:rsidRPr="00785CA3">
        <w:rPr>
          <w:rFonts w:ascii="Times New Roman" w:hAnsi="Times New Roman"/>
          <w:sz w:val="24"/>
        </w:rPr>
        <w:t>must report the $75,000 as net income from the proprietorship on his personal tax return.</w:t>
      </w:r>
    </w:p>
    <w:p w14:paraId="3B0CBB8E" w14:textId="6963619E" w:rsidR="00235AA6" w:rsidRDefault="00235AA6" w:rsidP="008C0F15">
      <w:pPr>
        <w:pStyle w:val="subquestionpara"/>
        <w:tabs>
          <w:tab w:val="left" w:pos="1440"/>
        </w:tabs>
        <w:spacing w:line="240" w:lineRule="auto"/>
        <w:ind w:left="1440" w:hanging="720"/>
        <w:rPr>
          <w:rFonts w:ascii="Times New Roman" w:hAnsi="Times New Roman"/>
          <w:sz w:val="24"/>
        </w:rPr>
      </w:pPr>
    </w:p>
    <w:p w14:paraId="24A4CE21" w14:textId="33A5609E" w:rsidR="00ED7A02" w:rsidRDefault="00ED7A02" w:rsidP="00371EB5">
      <w:pPr>
        <w:pStyle w:val="subquestionpara"/>
        <w:tabs>
          <w:tab w:val="left" w:pos="1440"/>
        </w:tabs>
        <w:spacing w:line="240" w:lineRule="auto"/>
        <w:ind w:left="720" w:hanging="720"/>
        <w:rPr>
          <w:rFonts w:ascii="Times New Roman" w:hAnsi="Times New Roman"/>
          <w:sz w:val="24"/>
        </w:rPr>
      </w:pPr>
      <w:r>
        <w:rPr>
          <w:rFonts w:ascii="Times New Roman" w:hAnsi="Times New Roman"/>
          <w:sz w:val="24"/>
        </w:rPr>
        <w:t>7.</w:t>
      </w:r>
      <w:r>
        <w:rPr>
          <w:rFonts w:ascii="Times New Roman" w:hAnsi="Times New Roman"/>
          <w:sz w:val="24"/>
        </w:rPr>
        <w:tab/>
      </w:r>
      <w:r w:rsidR="00C36BD1">
        <w:rPr>
          <w:rFonts w:ascii="Times New Roman" w:hAnsi="Times New Roman"/>
          <w:sz w:val="24"/>
        </w:rPr>
        <w:t>A</w:t>
      </w:r>
      <w:r w:rsidRPr="00ED7A02">
        <w:rPr>
          <w:rFonts w:ascii="Times New Roman" w:hAnsi="Times New Roman"/>
          <w:sz w:val="24"/>
        </w:rPr>
        <w:t xml:space="preserve"> deduction for qualified business income (§ 199A) is available for</w:t>
      </w:r>
      <w:r>
        <w:rPr>
          <w:rFonts w:ascii="Times New Roman" w:hAnsi="Times New Roman"/>
          <w:sz w:val="24"/>
        </w:rPr>
        <w:t xml:space="preserve"> </w:t>
      </w:r>
      <w:r w:rsidRPr="00ED7A02">
        <w:rPr>
          <w:rFonts w:ascii="Times New Roman" w:hAnsi="Times New Roman"/>
          <w:sz w:val="24"/>
        </w:rPr>
        <w:t>sole proprietors. In general, this deduction is 20</w:t>
      </w:r>
      <w:r>
        <w:rPr>
          <w:rFonts w:ascii="Times New Roman" w:hAnsi="Times New Roman"/>
          <w:sz w:val="24"/>
        </w:rPr>
        <w:t>%</w:t>
      </w:r>
      <w:r w:rsidRPr="00ED7A02">
        <w:rPr>
          <w:rFonts w:ascii="Times New Roman" w:hAnsi="Times New Roman"/>
          <w:sz w:val="24"/>
        </w:rPr>
        <w:t xml:space="preserve"> of proprietorship net income</w:t>
      </w:r>
      <w:r>
        <w:rPr>
          <w:rFonts w:ascii="Times New Roman" w:hAnsi="Times New Roman"/>
          <w:sz w:val="24"/>
        </w:rPr>
        <w:t xml:space="preserve"> </w:t>
      </w:r>
      <w:r w:rsidRPr="00ED7A02">
        <w:rPr>
          <w:rFonts w:ascii="Times New Roman" w:hAnsi="Times New Roman"/>
          <w:sz w:val="24"/>
        </w:rPr>
        <w:t>and is claimed on the proprietor’s Form 1040 in determining taxable income</w:t>
      </w:r>
      <w:r>
        <w:rPr>
          <w:rFonts w:ascii="Times New Roman" w:hAnsi="Times New Roman"/>
          <w:sz w:val="24"/>
        </w:rPr>
        <w:t>.</w:t>
      </w:r>
    </w:p>
    <w:p w14:paraId="05B5D08D" w14:textId="77777777" w:rsidR="00ED7A02" w:rsidRPr="00785CA3" w:rsidRDefault="00ED7A02" w:rsidP="00ED7A02">
      <w:pPr>
        <w:pStyle w:val="subquestionpara"/>
        <w:tabs>
          <w:tab w:val="left" w:pos="1440"/>
        </w:tabs>
        <w:ind w:left="720" w:hanging="720"/>
        <w:rPr>
          <w:rFonts w:ascii="Times New Roman" w:hAnsi="Times New Roman"/>
          <w:sz w:val="24"/>
        </w:rPr>
      </w:pPr>
    </w:p>
    <w:p w14:paraId="1A5863A6" w14:textId="77777777" w:rsidR="00733ECA" w:rsidRPr="00785CA3" w:rsidRDefault="00733ECA" w:rsidP="008C0F15">
      <w:pPr>
        <w:pStyle w:val="subquestionpara"/>
        <w:tabs>
          <w:tab w:val="left" w:pos="1440"/>
        </w:tabs>
        <w:spacing w:line="240" w:lineRule="auto"/>
        <w:ind w:left="1440" w:hanging="1440"/>
        <w:rPr>
          <w:rFonts w:ascii="Times New Roman" w:hAnsi="Times New Roman"/>
          <w:b/>
          <w:sz w:val="24"/>
        </w:rPr>
      </w:pPr>
      <w:r w:rsidRPr="00785CA3">
        <w:rPr>
          <w:rFonts w:ascii="Times New Roman" w:hAnsi="Times New Roman"/>
          <w:b/>
          <w:sz w:val="24"/>
        </w:rPr>
        <w:t>Partnerships</w:t>
      </w:r>
    </w:p>
    <w:p w14:paraId="4BF39E09" w14:textId="77777777" w:rsidR="00733ECA" w:rsidRPr="00785CA3" w:rsidRDefault="00733ECA" w:rsidP="008C0F15">
      <w:pPr>
        <w:pStyle w:val="Subpartsanswer"/>
        <w:tabs>
          <w:tab w:val="clear" w:pos="1296"/>
          <w:tab w:val="left" w:pos="1440"/>
        </w:tabs>
        <w:spacing w:line="240" w:lineRule="auto"/>
        <w:ind w:left="1440" w:hanging="720"/>
        <w:jc w:val="left"/>
        <w:rPr>
          <w:rFonts w:ascii="Times New Roman" w:hAnsi="Times New Roman"/>
          <w:sz w:val="24"/>
        </w:rPr>
      </w:pPr>
    </w:p>
    <w:p w14:paraId="5C02AB17" w14:textId="720DAD3D" w:rsidR="00BE6018" w:rsidRPr="00785CA3" w:rsidRDefault="00ED7A02" w:rsidP="008C0F15">
      <w:pPr>
        <w:pStyle w:val="Subpartsanswer"/>
        <w:tabs>
          <w:tab w:val="clear" w:pos="576"/>
          <w:tab w:val="clear" w:pos="1296"/>
        </w:tabs>
        <w:spacing w:line="240" w:lineRule="auto"/>
        <w:ind w:left="720" w:hanging="720"/>
        <w:jc w:val="left"/>
        <w:rPr>
          <w:rFonts w:ascii="Times New Roman" w:hAnsi="Times New Roman"/>
          <w:sz w:val="24"/>
        </w:rPr>
      </w:pPr>
      <w:r>
        <w:rPr>
          <w:rFonts w:ascii="Times New Roman" w:hAnsi="Times New Roman"/>
          <w:sz w:val="24"/>
        </w:rPr>
        <w:t>8</w:t>
      </w:r>
      <w:r w:rsidR="00775555" w:rsidRPr="00785CA3">
        <w:rPr>
          <w:rFonts w:ascii="Times New Roman" w:hAnsi="Times New Roman"/>
          <w:sz w:val="24"/>
        </w:rPr>
        <w:t>.</w:t>
      </w:r>
      <w:r w:rsidR="00775555" w:rsidRPr="00785CA3">
        <w:rPr>
          <w:rFonts w:ascii="Times New Roman" w:hAnsi="Times New Roman"/>
          <w:sz w:val="24"/>
        </w:rPr>
        <w:tab/>
        <w:t>Partnerships</w:t>
      </w:r>
      <w:r w:rsidR="00BE6018" w:rsidRPr="00785CA3">
        <w:rPr>
          <w:rFonts w:ascii="Times New Roman" w:hAnsi="Times New Roman"/>
          <w:sz w:val="24"/>
        </w:rPr>
        <w:t xml:space="preserve"> are tax</w:t>
      </w:r>
      <w:r w:rsidR="004E1001" w:rsidRPr="00785CA3">
        <w:rPr>
          <w:rFonts w:ascii="Times New Roman" w:hAnsi="Times New Roman"/>
          <w:sz w:val="24"/>
        </w:rPr>
        <w:t>-</w:t>
      </w:r>
      <w:r w:rsidR="00BE6018" w:rsidRPr="00785CA3">
        <w:rPr>
          <w:rFonts w:ascii="Times New Roman" w:hAnsi="Times New Roman"/>
          <w:sz w:val="24"/>
        </w:rPr>
        <w:t>reporting</w:t>
      </w:r>
      <w:r w:rsidR="004E1001" w:rsidRPr="00785CA3">
        <w:rPr>
          <w:rFonts w:ascii="Times New Roman" w:hAnsi="Times New Roman"/>
          <w:sz w:val="24"/>
        </w:rPr>
        <w:t>,</w:t>
      </w:r>
      <w:r w:rsidR="00BE6018" w:rsidRPr="00785CA3">
        <w:rPr>
          <w:rFonts w:ascii="Times New Roman" w:hAnsi="Times New Roman"/>
          <w:sz w:val="24"/>
        </w:rPr>
        <w:t xml:space="preserve"> but not taxpaying</w:t>
      </w:r>
      <w:r w:rsidR="004E1001" w:rsidRPr="00785CA3">
        <w:rPr>
          <w:rFonts w:ascii="Times New Roman" w:hAnsi="Times New Roman"/>
          <w:sz w:val="24"/>
        </w:rPr>
        <w:t>,</w:t>
      </w:r>
      <w:r w:rsidR="00BE6018" w:rsidRPr="00785CA3">
        <w:rPr>
          <w:rFonts w:ascii="Times New Roman" w:hAnsi="Times New Roman"/>
          <w:sz w:val="24"/>
        </w:rPr>
        <w:t xml:space="preserve"> entities. </w:t>
      </w:r>
      <w:r w:rsidR="004E1001" w:rsidRPr="00785CA3">
        <w:rPr>
          <w:rFonts w:ascii="Times New Roman" w:hAnsi="Times New Roman"/>
          <w:sz w:val="24"/>
        </w:rPr>
        <w:t xml:space="preserve">A </w:t>
      </w:r>
      <w:r w:rsidR="00BE6018" w:rsidRPr="00785CA3">
        <w:rPr>
          <w:rFonts w:ascii="Times New Roman" w:hAnsi="Times New Roman"/>
          <w:sz w:val="24"/>
        </w:rPr>
        <w:t xml:space="preserve">partnership reports its income on </w:t>
      </w:r>
      <w:r w:rsidR="00775555" w:rsidRPr="00785CA3">
        <w:rPr>
          <w:rFonts w:ascii="Times New Roman" w:hAnsi="Times New Roman"/>
          <w:sz w:val="24"/>
        </w:rPr>
        <w:t>Form 1065.</w:t>
      </w:r>
      <w:r w:rsidR="00536955" w:rsidRPr="00785CA3">
        <w:rPr>
          <w:rFonts w:ascii="Times New Roman" w:hAnsi="Times New Roman"/>
          <w:sz w:val="24"/>
        </w:rPr>
        <w:t xml:space="preserve"> </w:t>
      </w:r>
    </w:p>
    <w:p w14:paraId="6D6A79CE" w14:textId="77777777" w:rsidR="00BE6018" w:rsidRPr="00785CA3" w:rsidRDefault="00BE6018" w:rsidP="008C0F15">
      <w:pPr>
        <w:pStyle w:val="Subpartsanswer"/>
        <w:tabs>
          <w:tab w:val="clear" w:pos="576"/>
          <w:tab w:val="clear" w:pos="1296"/>
        </w:tabs>
        <w:spacing w:line="240" w:lineRule="auto"/>
        <w:ind w:left="720" w:hanging="720"/>
        <w:jc w:val="left"/>
        <w:rPr>
          <w:rFonts w:ascii="Times New Roman" w:hAnsi="Times New Roman"/>
          <w:sz w:val="24"/>
        </w:rPr>
      </w:pPr>
    </w:p>
    <w:p w14:paraId="0F658A89" w14:textId="53295E6D" w:rsidR="00ED7A02" w:rsidRDefault="00ED7A02" w:rsidP="00371EB5">
      <w:pPr>
        <w:pStyle w:val="Subpartsanswer"/>
        <w:tabs>
          <w:tab w:val="clear" w:pos="576"/>
        </w:tabs>
        <w:spacing w:line="240" w:lineRule="auto"/>
        <w:ind w:left="720" w:hanging="720"/>
        <w:jc w:val="left"/>
        <w:rPr>
          <w:rFonts w:ascii="Times New Roman" w:hAnsi="Times New Roman"/>
          <w:sz w:val="24"/>
        </w:rPr>
      </w:pPr>
      <w:r>
        <w:rPr>
          <w:rFonts w:ascii="Times New Roman" w:hAnsi="Times New Roman"/>
          <w:sz w:val="24"/>
        </w:rPr>
        <w:t>9</w:t>
      </w:r>
      <w:r w:rsidR="00BE6018" w:rsidRPr="00785CA3">
        <w:rPr>
          <w:rFonts w:ascii="Times New Roman" w:hAnsi="Times New Roman"/>
          <w:sz w:val="24"/>
        </w:rPr>
        <w:t xml:space="preserve">. </w:t>
      </w:r>
      <w:r w:rsidR="00BE6018" w:rsidRPr="00785CA3">
        <w:rPr>
          <w:rFonts w:ascii="Times New Roman" w:hAnsi="Times New Roman"/>
          <w:sz w:val="24"/>
        </w:rPr>
        <w:tab/>
      </w:r>
      <w:r w:rsidR="00122B5E" w:rsidRPr="00785CA3">
        <w:rPr>
          <w:rFonts w:ascii="Times New Roman" w:hAnsi="Times New Roman"/>
          <w:sz w:val="24"/>
        </w:rPr>
        <w:t xml:space="preserve">Each partner receives a </w:t>
      </w:r>
      <w:r w:rsidR="00775555" w:rsidRPr="00785CA3">
        <w:rPr>
          <w:rFonts w:ascii="Times New Roman" w:hAnsi="Times New Roman"/>
          <w:sz w:val="24"/>
        </w:rPr>
        <w:t>Schedule K</w:t>
      </w:r>
      <w:r w:rsidR="004E7AEC">
        <w:rPr>
          <w:rFonts w:ascii="Times New Roman" w:hAnsi="Times New Roman"/>
          <w:sz w:val="24"/>
        </w:rPr>
        <w:t>–</w:t>
      </w:r>
      <w:r w:rsidR="00122B5E" w:rsidRPr="00785CA3">
        <w:rPr>
          <w:rFonts w:ascii="Times New Roman" w:hAnsi="Times New Roman"/>
          <w:sz w:val="24"/>
        </w:rPr>
        <w:t>1</w:t>
      </w:r>
      <w:r w:rsidR="004F1EF5" w:rsidRPr="00785CA3">
        <w:rPr>
          <w:rFonts w:ascii="Times New Roman" w:hAnsi="Times New Roman"/>
          <w:sz w:val="24"/>
        </w:rPr>
        <w:t xml:space="preserve"> </w:t>
      </w:r>
      <w:r w:rsidR="00122B5E" w:rsidRPr="00785CA3">
        <w:rPr>
          <w:rFonts w:ascii="Times New Roman" w:hAnsi="Times New Roman"/>
          <w:sz w:val="24"/>
        </w:rPr>
        <w:t xml:space="preserve">that </w:t>
      </w:r>
      <w:r w:rsidR="00775555" w:rsidRPr="00785CA3">
        <w:rPr>
          <w:rFonts w:ascii="Times New Roman" w:hAnsi="Times New Roman"/>
          <w:sz w:val="24"/>
        </w:rPr>
        <w:t xml:space="preserve">reports </w:t>
      </w:r>
      <w:r w:rsidR="00122B5E" w:rsidRPr="00785CA3">
        <w:rPr>
          <w:rFonts w:ascii="Times New Roman" w:hAnsi="Times New Roman"/>
          <w:sz w:val="24"/>
        </w:rPr>
        <w:t xml:space="preserve">the partner’s share of </w:t>
      </w:r>
      <w:r w:rsidR="00DD535F" w:rsidRPr="00785CA3">
        <w:rPr>
          <w:rFonts w:ascii="Times New Roman" w:hAnsi="Times New Roman"/>
          <w:sz w:val="24"/>
        </w:rPr>
        <w:t>ordinary business income (loss)</w:t>
      </w:r>
      <w:r w:rsidR="00775555" w:rsidRPr="00785CA3">
        <w:rPr>
          <w:rFonts w:ascii="Times New Roman" w:hAnsi="Times New Roman"/>
          <w:sz w:val="24"/>
        </w:rPr>
        <w:t xml:space="preserve"> </w:t>
      </w:r>
      <w:r w:rsidR="00122B5E" w:rsidRPr="00785CA3">
        <w:rPr>
          <w:rFonts w:ascii="Times New Roman" w:hAnsi="Times New Roman"/>
          <w:sz w:val="24"/>
        </w:rPr>
        <w:t>a</w:t>
      </w:r>
      <w:r w:rsidR="00775555" w:rsidRPr="00785CA3">
        <w:rPr>
          <w:rFonts w:ascii="Times New Roman" w:hAnsi="Times New Roman"/>
          <w:sz w:val="24"/>
        </w:rPr>
        <w:t xml:space="preserve">long with </w:t>
      </w:r>
      <w:r w:rsidR="00122B5E" w:rsidRPr="00785CA3">
        <w:rPr>
          <w:rFonts w:ascii="Times New Roman" w:hAnsi="Times New Roman"/>
          <w:sz w:val="24"/>
        </w:rPr>
        <w:t xml:space="preserve">each separately reported </w:t>
      </w:r>
      <w:r w:rsidR="00CC7886" w:rsidRPr="00CC7886">
        <w:rPr>
          <w:rFonts w:ascii="Times New Roman" w:hAnsi="Times New Roman"/>
          <w:sz w:val="24"/>
        </w:rPr>
        <w:t>item</w:t>
      </w:r>
      <w:r w:rsidR="00CC7886">
        <w:rPr>
          <w:rFonts w:ascii="Times New Roman" w:hAnsi="Times New Roman"/>
          <w:sz w:val="24"/>
        </w:rPr>
        <w:t xml:space="preserve"> </w:t>
      </w:r>
      <w:r w:rsidR="00CC7886" w:rsidRPr="00CC7886">
        <w:rPr>
          <w:rFonts w:ascii="Times New Roman" w:hAnsi="Times New Roman"/>
          <w:sz w:val="24"/>
        </w:rPr>
        <w:t>allocated to the partners according to the partnership’s profit and loss sharing agreement</w:t>
      </w:r>
      <w:r w:rsidR="00775555" w:rsidRPr="00785CA3">
        <w:rPr>
          <w:rFonts w:ascii="Times New Roman" w:hAnsi="Times New Roman"/>
          <w:sz w:val="24"/>
        </w:rPr>
        <w:t xml:space="preserve">. </w:t>
      </w:r>
    </w:p>
    <w:p w14:paraId="7A48E5AD" w14:textId="77777777" w:rsidR="00ED7A02" w:rsidRDefault="00ED7A02" w:rsidP="00ED7A02">
      <w:pPr>
        <w:pStyle w:val="Subpartsanswer"/>
        <w:tabs>
          <w:tab w:val="clear" w:pos="576"/>
        </w:tabs>
        <w:ind w:left="720" w:hanging="720"/>
        <w:jc w:val="left"/>
        <w:rPr>
          <w:rFonts w:ascii="Times New Roman" w:hAnsi="Times New Roman"/>
          <w:sz w:val="24"/>
        </w:rPr>
      </w:pPr>
    </w:p>
    <w:p w14:paraId="28CFB59E" w14:textId="35422D1B" w:rsidR="00775555" w:rsidRDefault="00ED7A02" w:rsidP="00ED7A02">
      <w:pPr>
        <w:pStyle w:val="Subpartsanswer"/>
        <w:tabs>
          <w:tab w:val="clear" w:pos="576"/>
          <w:tab w:val="clear" w:pos="1296"/>
        </w:tabs>
        <w:ind w:left="1440" w:hanging="720"/>
        <w:jc w:val="left"/>
        <w:rPr>
          <w:rFonts w:ascii="Times New Roman" w:hAnsi="Times New Roman"/>
          <w:sz w:val="24"/>
        </w:rPr>
      </w:pPr>
      <w:r>
        <w:rPr>
          <w:rFonts w:ascii="Times New Roman" w:hAnsi="Times New Roman"/>
          <w:sz w:val="24"/>
        </w:rPr>
        <w:t>a.</w:t>
      </w:r>
      <w:r>
        <w:rPr>
          <w:rFonts w:ascii="Times New Roman" w:hAnsi="Times New Roman"/>
          <w:sz w:val="24"/>
        </w:rPr>
        <w:tab/>
      </w:r>
      <w:r w:rsidR="00775555" w:rsidRPr="00785CA3">
        <w:rPr>
          <w:rFonts w:ascii="Times New Roman" w:hAnsi="Times New Roman"/>
          <w:sz w:val="24"/>
        </w:rPr>
        <w:t>Schedule K</w:t>
      </w:r>
      <w:r w:rsidR="004E7AEC">
        <w:rPr>
          <w:rFonts w:ascii="Times New Roman" w:hAnsi="Times New Roman"/>
          <w:sz w:val="24"/>
        </w:rPr>
        <w:t>–</w:t>
      </w:r>
      <w:r w:rsidR="00775555" w:rsidRPr="00785CA3">
        <w:rPr>
          <w:rFonts w:ascii="Times New Roman" w:hAnsi="Times New Roman"/>
          <w:sz w:val="24"/>
        </w:rPr>
        <w:t xml:space="preserve">1 </w:t>
      </w:r>
      <w:proofErr w:type="gramStart"/>
      <w:r w:rsidR="00775555" w:rsidRPr="00785CA3">
        <w:rPr>
          <w:rFonts w:ascii="Times New Roman" w:hAnsi="Times New Roman"/>
          <w:sz w:val="24"/>
        </w:rPr>
        <w:t>items</w:t>
      </w:r>
      <w:proofErr w:type="gramEnd"/>
      <w:r w:rsidR="00775555" w:rsidRPr="00785CA3">
        <w:rPr>
          <w:rFonts w:ascii="Times New Roman" w:hAnsi="Times New Roman"/>
          <w:sz w:val="24"/>
        </w:rPr>
        <w:t xml:space="preserve"> are reported on each partner’s </w:t>
      </w:r>
      <w:r w:rsidR="004E1001" w:rsidRPr="00785CA3">
        <w:rPr>
          <w:rFonts w:ascii="Times New Roman" w:hAnsi="Times New Roman"/>
          <w:sz w:val="24"/>
        </w:rPr>
        <w:t xml:space="preserve">tax </w:t>
      </w:r>
      <w:r w:rsidR="00775555" w:rsidRPr="00785CA3">
        <w:rPr>
          <w:rFonts w:ascii="Times New Roman" w:hAnsi="Times New Roman"/>
          <w:sz w:val="24"/>
        </w:rPr>
        <w:t>return.</w:t>
      </w:r>
      <w:r w:rsidR="00C06CA8" w:rsidRPr="00785CA3">
        <w:rPr>
          <w:rFonts w:ascii="Times New Roman" w:hAnsi="Times New Roman"/>
          <w:sz w:val="24"/>
        </w:rPr>
        <w:t xml:space="preserve"> (</w:t>
      </w:r>
      <w:r w:rsidR="00CC7886">
        <w:rPr>
          <w:rFonts w:ascii="Times New Roman" w:hAnsi="Times New Roman"/>
          <w:sz w:val="24"/>
        </w:rPr>
        <w:t xml:space="preserve">See </w:t>
      </w:r>
      <w:r w:rsidR="00C06CA8" w:rsidRPr="00785CA3">
        <w:rPr>
          <w:rFonts w:ascii="Times New Roman" w:hAnsi="Times New Roman"/>
          <w:sz w:val="24"/>
        </w:rPr>
        <w:t>Example 2</w:t>
      </w:r>
      <w:r w:rsidR="00CC7886">
        <w:rPr>
          <w:rFonts w:ascii="Times New Roman" w:hAnsi="Times New Roman"/>
          <w:sz w:val="24"/>
        </w:rPr>
        <w:t xml:space="preserve"> in the text.</w:t>
      </w:r>
      <w:r w:rsidR="00C06CA8" w:rsidRPr="00785CA3">
        <w:rPr>
          <w:rFonts w:ascii="Times New Roman" w:hAnsi="Times New Roman"/>
          <w:sz w:val="24"/>
        </w:rPr>
        <w:t>)</w:t>
      </w:r>
    </w:p>
    <w:p w14:paraId="46C92E8A" w14:textId="1CDFA85A" w:rsidR="00ED7A02" w:rsidRDefault="00ED7A02" w:rsidP="00ED7A02">
      <w:pPr>
        <w:pStyle w:val="Subpartsanswer"/>
        <w:tabs>
          <w:tab w:val="clear" w:pos="576"/>
          <w:tab w:val="clear" w:pos="1296"/>
        </w:tabs>
        <w:ind w:left="1440" w:hanging="720"/>
        <w:jc w:val="left"/>
        <w:rPr>
          <w:rFonts w:ascii="Times New Roman" w:hAnsi="Times New Roman"/>
          <w:sz w:val="24"/>
        </w:rPr>
      </w:pPr>
    </w:p>
    <w:p w14:paraId="4B4A4249" w14:textId="326D3937" w:rsidR="00ED7A02" w:rsidRPr="00785CA3" w:rsidRDefault="00ED7A02" w:rsidP="00371EB5">
      <w:pPr>
        <w:pStyle w:val="Subpartsanswer"/>
        <w:tabs>
          <w:tab w:val="clear" w:pos="1296"/>
        </w:tabs>
        <w:spacing w:line="240" w:lineRule="auto"/>
        <w:ind w:left="1440" w:hanging="720"/>
        <w:rPr>
          <w:rFonts w:ascii="Times New Roman" w:hAnsi="Times New Roman"/>
          <w:sz w:val="24"/>
        </w:rPr>
      </w:pPr>
      <w:r>
        <w:rPr>
          <w:rFonts w:ascii="Times New Roman" w:hAnsi="Times New Roman"/>
          <w:sz w:val="24"/>
        </w:rPr>
        <w:t>b.</w:t>
      </w:r>
      <w:r>
        <w:rPr>
          <w:rFonts w:ascii="Times New Roman" w:hAnsi="Times New Roman"/>
          <w:sz w:val="24"/>
        </w:rPr>
        <w:tab/>
        <w:t>I</w:t>
      </w:r>
      <w:r w:rsidRPr="00ED7A02">
        <w:rPr>
          <w:rFonts w:ascii="Times New Roman" w:hAnsi="Times New Roman"/>
          <w:sz w:val="24"/>
        </w:rPr>
        <w:t>ndividual partners</w:t>
      </w:r>
      <w:r>
        <w:rPr>
          <w:rFonts w:ascii="Times New Roman" w:hAnsi="Times New Roman"/>
          <w:sz w:val="24"/>
        </w:rPr>
        <w:t xml:space="preserve"> </w:t>
      </w:r>
      <w:r w:rsidRPr="00ED7A02">
        <w:rPr>
          <w:rFonts w:ascii="Times New Roman" w:hAnsi="Times New Roman"/>
          <w:sz w:val="24"/>
        </w:rPr>
        <w:t xml:space="preserve">can claim the deduction for qualified business income (to the extent available) on </w:t>
      </w:r>
      <w:r w:rsidR="00742723">
        <w:rPr>
          <w:rFonts w:ascii="Times New Roman" w:hAnsi="Times New Roman"/>
          <w:sz w:val="24"/>
        </w:rPr>
        <w:t>their individual tax return (</w:t>
      </w:r>
      <w:r w:rsidRPr="00ED7A02">
        <w:rPr>
          <w:rFonts w:ascii="Times New Roman" w:hAnsi="Times New Roman"/>
          <w:sz w:val="24"/>
        </w:rPr>
        <w:t>Form 1040</w:t>
      </w:r>
      <w:r w:rsidR="00742723">
        <w:rPr>
          <w:rFonts w:ascii="Times New Roman" w:hAnsi="Times New Roman"/>
          <w:sz w:val="24"/>
        </w:rPr>
        <w:t>)</w:t>
      </w:r>
      <w:r w:rsidRPr="00ED7A02">
        <w:rPr>
          <w:rFonts w:ascii="Times New Roman" w:hAnsi="Times New Roman"/>
          <w:sz w:val="24"/>
        </w:rPr>
        <w:t>.</w:t>
      </w:r>
    </w:p>
    <w:p w14:paraId="4A09788B" w14:textId="396CD1AC" w:rsidR="00ED7A02" w:rsidRDefault="00ED7A02">
      <w:pPr>
        <w:rPr>
          <w:b/>
          <w:szCs w:val="20"/>
        </w:rPr>
      </w:pPr>
    </w:p>
    <w:p w14:paraId="619FC070" w14:textId="7D600BBC" w:rsidR="00723D23" w:rsidRDefault="00723D23">
      <w:pPr>
        <w:rPr>
          <w:b/>
          <w:szCs w:val="20"/>
        </w:rPr>
      </w:pPr>
    </w:p>
    <w:p w14:paraId="525A5AFC" w14:textId="1D40FFBD" w:rsidR="00D07162" w:rsidRPr="00785CA3" w:rsidRDefault="00D07162" w:rsidP="008C0F15">
      <w:pPr>
        <w:pStyle w:val="Subpartsanswer"/>
        <w:tabs>
          <w:tab w:val="clear" w:pos="1296"/>
          <w:tab w:val="left" w:pos="1440"/>
        </w:tabs>
        <w:spacing w:line="240" w:lineRule="auto"/>
        <w:ind w:left="1440" w:hanging="1440"/>
        <w:jc w:val="left"/>
        <w:rPr>
          <w:rFonts w:ascii="Times New Roman" w:hAnsi="Times New Roman"/>
          <w:b/>
          <w:sz w:val="24"/>
        </w:rPr>
      </w:pPr>
      <w:r w:rsidRPr="00785CA3">
        <w:rPr>
          <w:rFonts w:ascii="Times New Roman" w:hAnsi="Times New Roman"/>
          <w:b/>
          <w:sz w:val="24"/>
        </w:rPr>
        <w:t>Corporations</w:t>
      </w:r>
    </w:p>
    <w:p w14:paraId="6F61675C" w14:textId="77777777" w:rsidR="00D07162" w:rsidRPr="00785CA3" w:rsidRDefault="00D07162" w:rsidP="008C0F15">
      <w:pPr>
        <w:pStyle w:val="Subpartsanswer"/>
        <w:tabs>
          <w:tab w:val="clear" w:pos="1296"/>
          <w:tab w:val="left" w:pos="1440"/>
        </w:tabs>
        <w:spacing w:line="240" w:lineRule="auto"/>
        <w:ind w:left="1440" w:hanging="1440"/>
        <w:jc w:val="left"/>
        <w:rPr>
          <w:rFonts w:ascii="Times New Roman" w:hAnsi="Times New Roman"/>
          <w:sz w:val="24"/>
        </w:rPr>
      </w:pPr>
    </w:p>
    <w:p w14:paraId="06C73142" w14:textId="4D31C6A2" w:rsidR="00D65909" w:rsidRPr="00785CA3" w:rsidRDefault="00ED7A02" w:rsidP="008C0F15">
      <w:pPr>
        <w:pStyle w:val="Subpartsanswer"/>
        <w:tabs>
          <w:tab w:val="clear" w:pos="576"/>
          <w:tab w:val="clear" w:pos="1296"/>
        </w:tabs>
        <w:spacing w:line="240" w:lineRule="auto"/>
        <w:ind w:left="720" w:hanging="720"/>
        <w:jc w:val="left"/>
        <w:rPr>
          <w:rFonts w:ascii="Times New Roman" w:hAnsi="Times New Roman"/>
          <w:sz w:val="24"/>
        </w:rPr>
      </w:pPr>
      <w:r>
        <w:rPr>
          <w:rFonts w:ascii="Times New Roman" w:hAnsi="Times New Roman"/>
          <w:sz w:val="24"/>
        </w:rPr>
        <w:t>10</w:t>
      </w:r>
      <w:r w:rsidR="00B728D8" w:rsidRPr="00785CA3">
        <w:rPr>
          <w:rFonts w:ascii="Times New Roman" w:hAnsi="Times New Roman"/>
          <w:sz w:val="24"/>
        </w:rPr>
        <w:t>.</w:t>
      </w:r>
      <w:r w:rsidR="00B728D8" w:rsidRPr="00785CA3">
        <w:rPr>
          <w:rFonts w:ascii="Times New Roman" w:hAnsi="Times New Roman"/>
          <w:sz w:val="24"/>
        </w:rPr>
        <w:tab/>
      </w:r>
      <w:r w:rsidR="00122B5E" w:rsidRPr="00785CA3">
        <w:rPr>
          <w:rFonts w:ascii="Times New Roman" w:hAnsi="Times New Roman"/>
          <w:sz w:val="24"/>
        </w:rPr>
        <w:t>There are two types of corporations</w:t>
      </w:r>
      <w:r w:rsidR="00D65909" w:rsidRPr="00785CA3">
        <w:rPr>
          <w:rFonts w:ascii="Times New Roman" w:hAnsi="Times New Roman"/>
          <w:sz w:val="24"/>
        </w:rPr>
        <w:t xml:space="preserve"> for tax purposes</w:t>
      </w:r>
      <w:r w:rsidR="00271D5D" w:rsidRPr="00785CA3">
        <w:rPr>
          <w:rFonts w:ascii="Times New Roman" w:hAnsi="Times New Roman"/>
          <w:sz w:val="24"/>
        </w:rPr>
        <w:t>:</w:t>
      </w:r>
      <w:r w:rsidR="00CE4B7B" w:rsidRPr="00785CA3">
        <w:rPr>
          <w:rFonts w:ascii="Times New Roman" w:hAnsi="Times New Roman"/>
          <w:sz w:val="24"/>
        </w:rPr>
        <w:t xml:space="preserve"> </w:t>
      </w:r>
      <w:r w:rsidR="00122B5E" w:rsidRPr="00785CA3">
        <w:rPr>
          <w:rFonts w:ascii="Times New Roman" w:hAnsi="Times New Roman"/>
          <w:sz w:val="24"/>
        </w:rPr>
        <w:t>corporations governed by Subchapter C</w:t>
      </w:r>
      <w:r w:rsidR="001A111E" w:rsidRPr="00785CA3">
        <w:rPr>
          <w:rFonts w:ascii="Times New Roman" w:hAnsi="Times New Roman"/>
          <w:sz w:val="24"/>
        </w:rPr>
        <w:t xml:space="preserve"> (C corporations)</w:t>
      </w:r>
      <w:r w:rsidR="00122B5E" w:rsidRPr="00785CA3">
        <w:rPr>
          <w:rFonts w:ascii="Times New Roman" w:hAnsi="Times New Roman"/>
          <w:sz w:val="24"/>
        </w:rPr>
        <w:t xml:space="preserve"> and </w:t>
      </w:r>
      <w:r w:rsidR="00C54D91" w:rsidRPr="00785CA3">
        <w:rPr>
          <w:rFonts w:ascii="Times New Roman" w:hAnsi="Times New Roman"/>
          <w:sz w:val="24"/>
        </w:rPr>
        <w:t>corporation</w:t>
      </w:r>
      <w:r w:rsidR="000E0475" w:rsidRPr="00785CA3">
        <w:rPr>
          <w:rFonts w:ascii="Times New Roman" w:hAnsi="Times New Roman"/>
          <w:sz w:val="24"/>
        </w:rPr>
        <w:t>s</w:t>
      </w:r>
      <w:r w:rsidR="00C54D91" w:rsidRPr="00785CA3">
        <w:rPr>
          <w:rFonts w:ascii="Times New Roman" w:hAnsi="Times New Roman"/>
          <w:sz w:val="24"/>
        </w:rPr>
        <w:t xml:space="preserve"> governed by Subchapter S</w:t>
      </w:r>
      <w:r w:rsidR="001A111E" w:rsidRPr="00785CA3">
        <w:rPr>
          <w:rFonts w:ascii="Times New Roman" w:hAnsi="Times New Roman"/>
          <w:sz w:val="24"/>
        </w:rPr>
        <w:t xml:space="preserve"> (S</w:t>
      </w:r>
      <w:r w:rsidR="008D19D4">
        <w:rPr>
          <w:rFonts w:ascii="Times New Roman" w:hAnsi="Times New Roman"/>
          <w:sz w:val="24"/>
        </w:rPr>
        <w:t> </w:t>
      </w:r>
      <w:r w:rsidR="001A111E" w:rsidRPr="00785CA3">
        <w:rPr>
          <w:rFonts w:ascii="Times New Roman" w:hAnsi="Times New Roman"/>
          <w:sz w:val="24"/>
        </w:rPr>
        <w:t>corporations)</w:t>
      </w:r>
      <w:r w:rsidR="00C54D91" w:rsidRPr="00785CA3">
        <w:rPr>
          <w:rFonts w:ascii="Times New Roman" w:hAnsi="Times New Roman"/>
          <w:sz w:val="24"/>
        </w:rPr>
        <w:t>.</w:t>
      </w:r>
      <w:r w:rsidR="00DD7240" w:rsidRPr="00785CA3">
        <w:rPr>
          <w:rFonts w:ascii="Times New Roman" w:hAnsi="Times New Roman"/>
          <w:sz w:val="24"/>
        </w:rPr>
        <w:t xml:space="preserve"> </w:t>
      </w:r>
    </w:p>
    <w:p w14:paraId="22B955C5" w14:textId="77777777" w:rsidR="00D65909" w:rsidRPr="00785CA3" w:rsidRDefault="00D65909" w:rsidP="008C0F15">
      <w:pPr>
        <w:pStyle w:val="Subpartsanswer"/>
        <w:tabs>
          <w:tab w:val="clear" w:pos="576"/>
          <w:tab w:val="clear" w:pos="1296"/>
        </w:tabs>
        <w:spacing w:line="240" w:lineRule="auto"/>
        <w:ind w:left="720" w:hanging="720"/>
        <w:jc w:val="left"/>
        <w:rPr>
          <w:rFonts w:ascii="Times New Roman" w:hAnsi="Times New Roman"/>
          <w:sz w:val="24"/>
        </w:rPr>
      </w:pPr>
    </w:p>
    <w:p w14:paraId="3B1C2129" w14:textId="2338B525" w:rsidR="00122B5E" w:rsidRPr="00785CA3" w:rsidRDefault="00ED7A02" w:rsidP="008C0F15">
      <w:pPr>
        <w:pStyle w:val="Subpartsanswer"/>
        <w:tabs>
          <w:tab w:val="clear" w:pos="576"/>
          <w:tab w:val="clear" w:pos="1296"/>
        </w:tabs>
        <w:spacing w:line="240" w:lineRule="auto"/>
        <w:ind w:left="720" w:hanging="720"/>
        <w:jc w:val="left"/>
        <w:rPr>
          <w:rFonts w:ascii="Times New Roman" w:hAnsi="Times New Roman"/>
          <w:sz w:val="24"/>
        </w:rPr>
      </w:pPr>
      <w:r>
        <w:rPr>
          <w:rFonts w:ascii="Times New Roman" w:hAnsi="Times New Roman"/>
          <w:sz w:val="24"/>
        </w:rPr>
        <w:t>11</w:t>
      </w:r>
      <w:r w:rsidR="001B1A01">
        <w:rPr>
          <w:rFonts w:ascii="Times New Roman" w:hAnsi="Times New Roman"/>
          <w:sz w:val="24"/>
        </w:rPr>
        <w:t>.</w:t>
      </w:r>
      <w:r w:rsidR="004E1001" w:rsidRPr="00785CA3">
        <w:rPr>
          <w:rFonts w:ascii="Times New Roman" w:hAnsi="Times New Roman"/>
          <w:sz w:val="24"/>
        </w:rPr>
        <w:tab/>
      </w:r>
      <w:r w:rsidR="00DD7240" w:rsidRPr="00785CA3">
        <w:rPr>
          <w:rFonts w:ascii="Times New Roman" w:hAnsi="Times New Roman"/>
          <w:sz w:val="24"/>
        </w:rPr>
        <w:t>S corporations have the following characteristics</w:t>
      </w:r>
      <w:r w:rsidR="00A859B0">
        <w:rPr>
          <w:rFonts w:ascii="Times New Roman" w:hAnsi="Times New Roman"/>
          <w:sz w:val="24"/>
        </w:rPr>
        <w:t>.</w:t>
      </w:r>
    </w:p>
    <w:p w14:paraId="0F756A20" w14:textId="77777777" w:rsidR="00D65909" w:rsidRPr="00785CA3" w:rsidRDefault="00D65909" w:rsidP="008C0F15">
      <w:pPr>
        <w:pStyle w:val="Subpartsanswer"/>
        <w:tabs>
          <w:tab w:val="clear" w:pos="576"/>
          <w:tab w:val="clear" w:pos="1296"/>
        </w:tabs>
        <w:spacing w:line="240" w:lineRule="auto"/>
        <w:ind w:left="720" w:hanging="720"/>
        <w:jc w:val="left"/>
        <w:rPr>
          <w:rFonts w:ascii="Times New Roman" w:hAnsi="Times New Roman"/>
          <w:sz w:val="24"/>
        </w:rPr>
      </w:pPr>
    </w:p>
    <w:p w14:paraId="1BF05F62" w14:textId="3BFB2C5B" w:rsidR="00CE4B7B" w:rsidRPr="00785CA3" w:rsidRDefault="001A111E" w:rsidP="00525CFA">
      <w:pPr>
        <w:pStyle w:val="Subpartsanswer"/>
        <w:numPr>
          <w:ilvl w:val="0"/>
          <w:numId w:val="22"/>
        </w:numPr>
        <w:tabs>
          <w:tab w:val="clear" w:pos="576"/>
          <w:tab w:val="clear" w:pos="1296"/>
          <w:tab w:val="left" w:pos="1440"/>
        </w:tabs>
        <w:spacing w:line="240" w:lineRule="auto"/>
        <w:ind w:left="1440" w:hanging="720"/>
        <w:jc w:val="left"/>
        <w:rPr>
          <w:rFonts w:ascii="Times New Roman" w:hAnsi="Times New Roman"/>
          <w:sz w:val="24"/>
        </w:rPr>
      </w:pPr>
      <w:r w:rsidRPr="00785CA3">
        <w:rPr>
          <w:rFonts w:ascii="Times New Roman" w:hAnsi="Times New Roman"/>
          <w:sz w:val="24"/>
        </w:rPr>
        <w:t>Generally</w:t>
      </w:r>
      <w:r w:rsidR="00A646B7">
        <w:rPr>
          <w:rFonts w:ascii="Times New Roman" w:hAnsi="Times New Roman"/>
          <w:sz w:val="24"/>
        </w:rPr>
        <w:t>,</w:t>
      </w:r>
      <w:r w:rsidRPr="00785CA3">
        <w:rPr>
          <w:rFonts w:ascii="Times New Roman" w:hAnsi="Times New Roman"/>
          <w:sz w:val="24"/>
        </w:rPr>
        <w:t xml:space="preserve"> </w:t>
      </w:r>
      <w:r w:rsidR="00A646B7">
        <w:rPr>
          <w:rFonts w:ascii="Times New Roman" w:hAnsi="Times New Roman"/>
          <w:sz w:val="24"/>
        </w:rPr>
        <w:t xml:space="preserve">they </w:t>
      </w:r>
      <w:r w:rsidRPr="00785CA3">
        <w:rPr>
          <w:rFonts w:ascii="Times New Roman" w:hAnsi="Times New Roman"/>
          <w:sz w:val="24"/>
        </w:rPr>
        <w:t>do not pay Federal income taxes</w:t>
      </w:r>
      <w:r w:rsidR="00271D5D" w:rsidRPr="00785CA3">
        <w:rPr>
          <w:rFonts w:ascii="Times New Roman" w:hAnsi="Times New Roman"/>
          <w:sz w:val="24"/>
        </w:rPr>
        <w:t>.</w:t>
      </w:r>
    </w:p>
    <w:p w14:paraId="26751914" w14:textId="75FCD444" w:rsidR="00D65909" w:rsidRPr="00785CA3" w:rsidRDefault="00D65909" w:rsidP="008C0F15">
      <w:pPr>
        <w:pStyle w:val="Subpartsanswer"/>
        <w:tabs>
          <w:tab w:val="clear" w:pos="576"/>
          <w:tab w:val="clear" w:pos="1296"/>
        </w:tabs>
        <w:spacing w:line="240" w:lineRule="auto"/>
        <w:ind w:left="1440" w:hanging="720"/>
        <w:jc w:val="left"/>
        <w:rPr>
          <w:rFonts w:ascii="Times New Roman" w:hAnsi="Times New Roman"/>
          <w:sz w:val="24"/>
        </w:rPr>
      </w:pPr>
    </w:p>
    <w:p w14:paraId="70FA5F99" w14:textId="40B8F331" w:rsidR="00380B1C" w:rsidRPr="00785CA3" w:rsidRDefault="001A111E" w:rsidP="00525CFA">
      <w:pPr>
        <w:pStyle w:val="Subpartsanswer"/>
        <w:numPr>
          <w:ilvl w:val="0"/>
          <w:numId w:val="22"/>
        </w:numPr>
        <w:tabs>
          <w:tab w:val="clear" w:pos="576"/>
          <w:tab w:val="clear" w:pos="1296"/>
        </w:tabs>
        <w:spacing w:line="240" w:lineRule="auto"/>
        <w:ind w:left="1440" w:hanging="720"/>
        <w:jc w:val="left"/>
      </w:pPr>
      <w:r w:rsidRPr="00785CA3">
        <w:rPr>
          <w:rFonts w:ascii="Times New Roman" w:hAnsi="Times New Roman"/>
          <w:sz w:val="24"/>
        </w:rPr>
        <w:t>S</w:t>
      </w:r>
      <w:r w:rsidR="00775555" w:rsidRPr="00785CA3">
        <w:rPr>
          <w:rFonts w:ascii="Times New Roman" w:hAnsi="Times New Roman"/>
          <w:sz w:val="24"/>
        </w:rPr>
        <w:t>imilar to partnership</w:t>
      </w:r>
      <w:r w:rsidR="006450A6" w:rsidRPr="00785CA3">
        <w:rPr>
          <w:rFonts w:ascii="Times New Roman" w:hAnsi="Times New Roman"/>
          <w:sz w:val="24"/>
        </w:rPr>
        <w:t>s</w:t>
      </w:r>
      <w:r w:rsidR="00775555" w:rsidRPr="00785CA3">
        <w:rPr>
          <w:rFonts w:ascii="Times New Roman" w:hAnsi="Times New Roman"/>
          <w:sz w:val="24"/>
        </w:rPr>
        <w:t xml:space="preserve"> </w:t>
      </w:r>
      <w:r w:rsidR="00D51C4F" w:rsidRPr="00785CA3">
        <w:rPr>
          <w:rFonts w:ascii="Times New Roman" w:hAnsi="Times New Roman"/>
          <w:sz w:val="24"/>
        </w:rPr>
        <w:t>in that</w:t>
      </w:r>
      <w:r w:rsidR="00D65909" w:rsidRPr="00785CA3">
        <w:rPr>
          <w:rFonts w:ascii="Times New Roman" w:hAnsi="Times New Roman"/>
          <w:sz w:val="24"/>
        </w:rPr>
        <w:t xml:space="preserve"> operating income</w:t>
      </w:r>
      <w:r w:rsidR="00D51C4F" w:rsidRPr="00785CA3">
        <w:rPr>
          <w:rFonts w:ascii="Times New Roman" w:hAnsi="Times New Roman"/>
          <w:sz w:val="24"/>
        </w:rPr>
        <w:t xml:space="preserve"> (loss) flows through to the shareholders.</w:t>
      </w:r>
      <w:r w:rsidR="00D65909" w:rsidRPr="00785CA3">
        <w:rPr>
          <w:rFonts w:ascii="Times New Roman" w:hAnsi="Times New Roman"/>
          <w:sz w:val="24"/>
        </w:rPr>
        <w:t xml:space="preserve"> </w:t>
      </w:r>
      <w:r w:rsidR="00D51C4F" w:rsidRPr="00785CA3">
        <w:rPr>
          <w:rFonts w:ascii="Times New Roman" w:hAnsi="Times New Roman"/>
          <w:sz w:val="24"/>
        </w:rPr>
        <w:t>Like partnerships, all income and expense items are not aggregated when computing ordinary business income (loss). Certain items retain their separate character.</w:t>
      </w:r>
    </w:p>
    <w:p w14:paraId="754FEABB" w14:textId="333B773D" w:rsidR="00D51C4F" w:rsidRPr="00785CA3" w:rsidRDefault="00D51C4F" w:rsidP="008C0F15">
      <w:pPr>
        <w:pStyle w:val="Subpartsanswer"/>
        <w:tabs>
          <w:tab w:val="clear" w:pos="576"/>
          <w:tab w:val="clear" w:pos="1296"/>
        </w:tabs>
        <w:spacing w:line="240" w:lineRule="auto"/>
        <w:ind w:left="1440" w:hanging="720"/>
        <w:jc w:val="left"/>
        <w:rPr>
          <w:rFonts w:ascii="Times New Roman" w:hAnsi="Times New Roman"/>
          <w:sz w:val="24"/>
        </w:rPr>
      </w:pPr>
    </w:p>
    <w:p w14:paraId="15ECF94E" w14:textId="6A785361" w:rsidR="004E1001" w:rsidRPr="00785CA3" w:rsidRDefault="00ED08A4" w:rsidP="00525CFA">
      <w:pPr>
        <w:pStyle w:val="Subpartsanswer"/>
        <w:numPr>
          <w:ilvl w:val="0"/>
          <w:numId w:val="22"/>
        </w:numPr>
        <w:tabs>
          <w:tab w:val="clear" w:pos="576"/>
          <w:tab w:val="clear" w:pos="1296"/>
        </w:tabs>
        <w:spacing w:line="240" w:lineRule="auto"/>
        <w:ind w:left="1440" w:hanging="720"/>
        <w:jc w:val="left"/>
        <w:rPr>
          <w:rFonts w:ascii="Times New Roman" w:hAnsi="Times New Roman"/>
          <w:sz w:val="24"/>
        </w:rPr>
      </w:pPr>
      <w:r w:rsidRPr="00785CA3">
        <w:rPr>
          <w:rFonts w:ascii="Times New Roman" w:hAnsi="Times New Roman"/>
          <w:sz w:val="24"/>
        </w:rPr>
        <w:t>I</w:t>
      </w:r>
      <w:r w:rsidR="00775555" w:rsidRPr="00785CA3">
        <w:rPr>
          <w:rFonts w:ascii="Times New Roman" w:hAnsi="Times New Roman"/>
          <w:sz w:val="24"/>
        </w:rPr>
        <w:t xml:space="preserve">ncome and expense items </w:t>
      </w:r>
      <w:r w:rsidR="00D65909" w:rsidRPr="00785CA3">
        <w:rPr>
          <w:rFonts w:ascii="Times New Roman" w:hAnsi="Times New Roman"/>
          <w:sz w:val="24"/>
        </w:rPr>
        <w:t>“</w:t>
      </w:r>
      <w:r w:rsidRPr="00785CA3">
        <w:rPr>
          <w:rFonts w:ascii="Times New Roman" w:hAnsi="Times New Roman"/>
          <w:sz w:val="24"/>
        </w:rPr>
        <w:t xml:space="preserve">pass </w:t>
      </w:r>
      <w:r w:rsidR="00775555" w:rsidRPr="00785CA3">
        <w:rPr>
          <w:rFonts w:ascii="Times New Roman" w:hAnsi="Times New Roman"/>
          <w:sz w:val="24"/>
        </w:rPr>
        <w:t>through</w:t>
      </w:r>
      <w:r w:rsidR="00D65909" w:rsidRPr="00785CA3">
        <w:rPr>
          <w:rFonts w:ascii="Times New Roman" w:hAnsi="Times New Roman"/>
          <w:sz w:val="24"/>
        </w:rPr>
        <w:t>”</w:t>
      </w:r>
      <w:r w:rsidR="00775555" w:rsidRPr="00785CA3">
        <w:rPr>
          <w:rFonts w:ascii="Times New Roman" w:hAnsi="Times New Roman"/>
          <w:sz w:val="24"/>
        </w:rPr>
        <w:t xml:space="preserve"> to shareholders, who report </w:t>
      </w:r>
      <w:r w:rsidR="004E1001" w:rsidRPr="00785CA3">
        <w:rPr>
          <w:rFonts w:ascii="Times New Roman" w:hAnsi="Times New Roman"/>
          <w:sz w:val="24"/>
        </w:rPr>
        <w:t xml:space="preserve">their share of the </w:t>
      </w:r>
      <w:r w:rsidR="00775555" w:rsidRPr="00785CA3">
        <w:rPr>
          <w:rFonts w:ascii="Times New Roman" w:hAnsi="Times New Roman"/>
          <w:sz w:val="24"/>
        </w:rPr>
        <w:t>items on their own returns.</w:t>
      </w:r>
      <w:r w:rsidR="004C339E" w:rsidRPr="00785CA3">
        <w:rPr>
          <w:rFonts w:ascii="Times New Roman" w:hAnsi="Times New Roman"/>
          <w:sz w:val="24"/>
        </w:rPr>
        <w:t xml:space="preserve"> </w:t>
      </w:r>
      <w:r w:rsidR="00D51C4F" w:rsidRPr="00785CA3">
        <w:rPr>
          <w:rFonts w:ascii="Times New Roman" w:hAnsi="Times New Roman"/>
          <w:sz w:val="24"/>
        </w:rPr>
        <w:t xml:space="preserve">Items are allocated to shareholders according to their stock </w:t>
      </w:r>
      <w:r w:rsidR="00EE6A19" w:rsidRPr="00785CA3">
        <w:rPr>
          <w:rFonts w:ascii="Times New Roman" w:hAnsi="Times New Roman"/>
          <w:sz w:val="24"/>
        </w:rPr>
        <w:t>ownership interests</w:t>
      </w:r>
      <w:r w:rsidR="004C339E" w:rsidRPr="00785CA3">
        <w:rPr>
          <w:rFonts w:ascii="Times New Roman" w:hAnsi="Times New Roman"/>
          <w:sz w:val="24"/>
        </w:rPr>
        <w:t>.</w:t>
      </w:r>
    </w:p>
    <w:p w14:paraId="735A12E6" w14:textId="5ECAFC8A" w:rsidR="00314DA2" w:rsidRDefault="00314DA2">
      <w:pPr>
        <w:rPr>
          <w:szCs w:val="20"/>
        </w:rPr>
      </w:pPr>
    </w:p>
    <w:p w14:paraId="7B7BCD68" w14:textId="509EABEF" w:rsidR="000C4E01" w:rsidRPr="00785CA3" w:rsidRDefault="001B1A01" w:rsidP="008C0F15">
      <w:pPr>
        <w:pStyle w:val="Subpartsanswer"/>
        <w:tabs>
          <w:tab w:val="clear" w:pos="576"/>
          <w:tab w:val="clear" w:pos="1296"/>
        </w:tabs>
        <w:spacing w:line="240" w:lineRule="auto"/>
        <w:ind w:left="720" w:hanging="720"/>
        <w:jc w:val="left"/>
        <w:rPr>
          <w:rFonts w:ascii="Times New Roman" w:hAnsi="Times New Roman"/>
          <w:sz w:val="24"/>
        </w:rPr>
      </w:pPr>
      <w:r>
        <w:rPr>
          <w:rFonts w:ascii="Times New Roman" w:hAnsi="Times New Roman"/>
          <w:sz w:val="24"/>
        </w:rPr>
        <w:t>12</w:t>
      </w:r>
      <w:r w:rsidR="004C339E" w:rsidRPr="00785CA3">
        <w:rPr>
          <w:rFonts w:ascii="Times New Roman" w:hAnsi="Times New Roman"/>
          <w:sz w:val="24"/>
        </w:rPr>
        <w:t>.</w:t>
      </w:r>
      <w:r w:rsidR="004C339E" w:rsidRPr="00785CA3">
        <w:rPr>
          <w:rFonts w:ascii="Times New Roman" w:hAnsi="Times New Roman"/>
          <w:sz w:val="24"/>
        </w:rPr>
        <w:tab/>
        <w:t>Regular C corporat</w:t>
      </w:r>
      <w:r w:rsidR="003C0C5B" w:rsidRPr="00785CA3">
        <w:rPr>
          <w:rFonts w:ascii="Times New Roman" w:hAnsi="Times New Roman"/>
          <w:sz w:val="24"/>
        </w:rPr>
        <w:t xml:space="preserve">ions are subject to </w:t>
      </w:r>
      <w:r w:rsidR="00BE6018" w:rsidRPr="00785CA3">
        <w:rPr>
          <w:rFonts w:ascii="Times New Roman" w:hAnsi="Times New Roman"/>
          <w:sz w:val="24"/>
        </w:rPr>
        <w:t xml:space="preserve">entity-level taxation. </w:t>
      </w:r>
      <w:r w:rsidR="00EE6A19" w:rsidRPr="00785CA3">
        <w:rPr>
          <w:rFonts w:ascii="Times New Roman" w:hAnsi="Times New Roman"/>
          <w:sz w:val="24"/>
        </w:rPr>
        <w:t>Other characteristics include:</w:t>
      </w:r>
    </w:p>
    <w:p w14:paraId="029BC0E1" w14:textId="14EFAC5D" w:rsidR="00077E39" w:rsidRPr="00785CA3" w:rsidRDefault="00077E39" w:rsidP="008C0F15">
      <w:pPr>
        <w:pStyle w:val="Subpartsanswer"/>
        <w:tabs>
          <w:tab w:val="clear" w:pos="576"/>
          <w:tab w:val="clear" w:pos="1296"/>
        </w:tabs>
        <w:spacing w:line="240" w:lineRule="auto"/>
        <w:ind w:left="0" w:hanging="720"/>
        <w:jc w:val="left"/>
        <w:rPr>
          <w:rFonts w:ascii="Times New Roman" w:hAnsi="Times New Roman"/>
          <w:sz w:val="24"/>
        </w:rPr>
      </w:pPr>
    </w:p>
    <w:p w14:paraId="2C431E07" w14:textId="3FBF4C04" w:rsidR="00EE6A19" w:rsidRPr="00785CA3" w:rsidRDefault="00A646B7" w:rsidP="00525CFA">
      <w:pPr>
        <w:pStyle w:val="Subpartsanswer"/>
        <w:numPr>
          <w:ilvl w:val="0"/>
          <w:numId w:val="23"/>
        </w:numPr>
        <w:tabs>
          <w:tab w:val="clear" w:pos="576"/>
          <w:tab w:val="clear" w:pos="1296"/>
        </w:tabs>
        <w:spacing w:line="240" w:lineRule="auto"/>
        <w:ind w:left="1440" w:hanging="720"/>
        <w:jc w:val="left"/>
        <w:rPr>
          <w:rFonts w:ascii="Times New Roman" w:hAnsi="Times New Roman"/>
          <w:sz w:val="24"/>
        </w:rPr>
      </w:pPr>
      <w:r>
        <w:rPr>
          <w:rFonts w:ascii="Times New Roman" w:hAnsi="Times New Roman"/>
          <w:sz w:val="24"/>
        </w:rPr>
        <w:t xml:space="preserve">A </w:t>
      </w:r>
      <w:r w:rsidR="00EE6A19" w:rsidRPr="00785CA3">
        <w:rPr>
          <w:rFonts w:ascii="Times New Roman" w:hAnsi="Times New Roman"/>
          <w:sz w:val="24"/>
        </w:rPr>
        <w:t xml:space="preserve">C </w:t>
      </w:r>
      <w:r w:rsidR="00263826" w:rsidRPr="00785CA3">
        <w:rPr>
          <w:rFonts w:ascii="Times New Roman" w:hAnsi="Times New Roman"/>
          <w:sz w:val="24"/>
        </w:rPr>
        <w:t>c</w:t>
      </w:r>
      <w:r w:rsidR="00EE6A19" w:rsidRPr="00785CA3">
        <w:rPr>
          <w:rFonts w:ascii="Times New Roman" w:hAnsi="Times New Roman"/>
          <w:sz w:val="24"/>
        </w:rPr>
        <w:t>orporation reports its income and expenses on Form 1120.</w:t>
      </w:r>
    </w:p>
    <w:p w14:paraId="15FF935B" w14:textId="77777777" w:rsidR="000C4E01" w:rsidRPr="00785CA3" w:rsidRDefault="000C4E01" w:rsidP="008C0F15">
      <w:pPr>
        <w:pStyle w:val="Subpartsanswer"/>
        <w:tabs>
          <w:tab w:val="clear" w:pos="576"/>
          <w:tab w:val="clear" w:pos="1296"/>
        </w:tabs>
        <w:spacing w:line="240" w:lineRule="auto"/>
        <w:ind w:left="1440" w:firstLine="0"/>
        <w:jc w:val="left"/>
        <w:rPr>
          <w:rFonts w:ascii="Times New Roman" w:hAnsi="Times New Roman"/>
          <w:sz w:val="24"/>
        </w:rPr>
      </w:pPr>
    </w:p>
    <w:p w14:paraId="25E3C56B" w14:textId="77777777" w:rsidR="00C15FE5" w:rsidRPr="00785CA3" w:rsidRDefault="00C15FE5" w:rsidP="00525CFA">
      <w:pPr>
        <w:pStyle w:val="Subpartsanswer"/>
        <w:numPr>
          <w:ilvl w:val="0"/>
          <w:numId w:val="23"/>
        </w:numPr>
        <w:tabs>
          <w:tab w:val="clear" w:pos="576"/>
          <w:tab w:val="clear" w:pos="1296"/>
        </w:tabs>
        <w:spacing w:line="240" w:lineRule="auto"/>
        <w:ind w:left="1440" w:hanging="720"/>
        <w:jc w:val="left"/>
        <w:rPr>
          <w:rFonts w:ascii="Times New Roman" w:hAnsi="Times New Roman"/>
          <w:sz w:val="24"/>
        </w:rPr>
      </w:pPr>
      <w:r w:rsidRPr="00785CA3">
        <w:rPr>
          <w:rFonts w:ascii="Times New Roman" w:hAnsi="Times New Roman"/>
          <w:sz w:val="24"/>
        </w:rPr>
        <w:t>Dividends paid are not deductible by the corporation.</w:t>
      </w:r>
    </w:p>
    <w:p w14:paraId="3174262F" w14:textId="77777777" w:rsidR="000C4E01" w:rsidRPr="00785CA3" w:rsidRDefault="000C4E01" w:rsidP="008C0F15">
      <w:pPr>
        <w:pStyle w:val="ListParagraph"/>
      </w:pPr>
    </w:p>
    <w:p w14:paraId="276D9183" w14:textId="73047427" w:rsidR="000C4E01" w:rsidRPr="00785CA3" w:rsidRDefault="00235AA6" w:rsidP="008C0F15">
      <w:pPr>
        <w:pStyle w:val="Subpartsanswer"/>
        <w:tabs>
          <w:tab w:val="clear" w:pos="576"/>
          <w:tab w:val="clear" w:pos="1296"/>
        </w:tabs>
        <w:spacing w:line="240" w:lineRule="auto"/>
        <w:ind w:left="1440" w:firstLine="0"/>
        <w:jc w:val="left"/>
        <w:rPr>
          <w:rFonts w:ascii="Times New Roman" w:hAnsi="Times New Roman"/>
          <w:sz w:val="24"/>
        </w:rPr>
      </w:pPr>
      <w:r w:rsidRPr="008A08F7">
        <w:rPr>
          <w:rFonts w:ascii="Times New Roman" w:hAnsi="Times New Roman"/>
          <w:b/>
          <w:sz w:val="24"/>
        </w:rPr>
        <w:t>Example:</w:t>
      </w:r>
      <w:r w:rsidRPr="00785CA3">
        <w:rPr>
          <w:rFonts w:ascii="Times New Roman" w:hAnsi="Times New Roman"/>
          <w:sz w:val="24"/>
        </w:rPr>
        <w:t xml:space="preserve"> A C corporation has revenues of $80,000, </w:t>
      </w:r>
      <w:r w:rsidR="00024C69" w:rsidRPr="00785CA3">
        <w:rPr>
          <w:rFonts w:ascii="Times New Roman" w:hAnsi="Times New Roman"/>
          <w:sz w:val="24"/>
        </w:rPr>
        <w:t xml:space="preserve">has </w:t>
      </w:r>
      <w:r w:rsidRPr="00785CA3">
        <w:rPr>
          <w:rFonts w:ascii="Times New Roman" w:hAnsi="Times New Roman"/>
          <w:sz w:val="24"/>
        </w:rPr>
        <w:t>operating expenses of $60,000, and paid dividends of $10,000. Net income for the year is $20,000, since the dividends are not deductible by the corporation.</w:t>
      </w:r>
    </w:p>
    <w:p w14:paraId="79B9BA73" w14:textId="77777777" w:rsidR="00E42138" w:rsidRPr="00785CA3" w:rsidRDefault="00E42138" w:rsidP="008C0F15">
      <w:pPr>
        <w:pStyle w:val="Subpartsanswer"/>
        <w:tabs>
          <w:tab w:val="clear" w:pos="576"/>
          <w:tab w:val="clear" w:pos="1296"/>
        </w:tabs>
        <w:spacing w:line="240" w:lineRule="auto"/>
        <w:jc w:val="left"/>
        <w:rPr>
          <w:rFonts w:ascii="Times New Roman" w:hAnsi="Times New Roman"/>
          <w:sz w:val="24"/>
        </w:rPr>
      </w:pPr>
    </w:p>
    <w:p w14:paraId="2E19604E" w14:textId="45FF1763" w:rsidR="00EE6A19" w:rsidRPr="00785CA3" w:rsidRDefault="00EE6A19" w:rsidP="00525CFA">
      <w:pPr>
        <w:pStyle w:val="Subpartsanswer"/>
        <w:numPr>
          <w:ilvl w:val="0"/>
          <w:numId w:val="23"/>
        </w:numPr>
        <w:tabs>
          <w:tab w:val="clear" w:pos="576"/>
          <w:tab w:val="clear" w:pos="1296"/>
        </w:tabs>
        <w:spacing w:line="240" w:lineRule="auto"/>
        <w:ind w:left="1440" w:hanging="720"/>
        <w:jc w:val="left"/>
        <w:rPr>
          <w:rFonts w:ascii="Times New Roman" w:hAnsi="Times New Roman"/>
          <w:sz w:val="24"/>
        </w:rPr>
      </w:pPr>
      <w:r w:rsidRPr="00785CA3">
        <w:rPr>
          <w:rFonts w:ascii="Times New Roman" w:hAnsi="Times New Roman"/>
          <w:sz w:val="24"/>
        </w:rPr>
        <w:t>When a corporation distributes its income, the shareholders report dividend income on their own returns. Since the corporation pays tax on corporate income, this entity-level tax, along with the tax paid by shareholders on the distribution of that income as a dividend, results in income earned by a C corporation bein</w:t>
      </w:r>
      <w:r w:rsidR="001B1A01">
        <w:rPr>
          <w:rFonts w:ascii="Times New Roman" w:hAnsi="Times New Roman"/>
          <w:sz w:val="24"/>
        </w:rPr>
        <w:t>g subject to “double taxation.”</w:t>
      </w:r>
    </w:p>
    <w:p w14:paraId="1E906049" w14:textId="77777777" w:rsidR="00C15FE5" w:rsidRPr="00785CA3" w:rsidRDefault="00C15FE5" w:rsidP="008C0F15">
      <w:pPr>
        <w:pStyle w:val="Subpartsanswer"/>
        <w:tabs>
          <w:tab w:val="clear" w:pos="576"/>
          <w:tab w:val="clear" w:pos="1296"/>
        </w:tabs>
        <w:spacing w:line="240" w:lineRule="auto"/>
        <w:ind w:left="1440" w:firstLine="0"/>
        <w:jc w:val="left"/>
        <w:rPr>
          <w:rFonts w:ascii="Times New Roman" w:hAnsi="Times New Roman"/>
          <w:sz w:val="24"/>
        </w:rPr>
      </w:pPr>
    </w:p>
    <w:p w14:paraId="23CAA318" w14:textId="7BD8DEC2" w:rsidR="00EE6A19" w:rsidRDefault="00C15FE5" w:rsidP="008C0F15">
      <w:pPr>
        <w:pStyle w:val="subquestionpara"/>
        <w:tabs>
          <w:tab w:val="clear" w:pos="1152"/>
          <w:tab w:val="left" w:pos="2160"/>
        </w:tabs>
        <w:spacing w:line="240" w:lineRule="auto"/>
        <w:ind w:left="720" w:hanging="720"/>
        <w:rPr>
          <w:rFonts w:ascii="Times New Roman" w:hAnsi="Times New Roman"/>
          <w:sz w:val="24"/>
        </w:rPr>
      </w:pPr>
      <w:r w:rsidRPr="00785CA3">
        <w:rPr>
          <w:rFonts w:ascii="Times New Roman" w:hAnsi="Times New Roman"/>
          <w:sz w:val="24"/>
        </w:rPr>
        <w:t>1</w:t>
      </w:r>
      <w:r w:rsidR="001B1A01">
        <w:rPr>
          <w:rFonts w:ascii="Times New Roman" w:hAnsi="Times New Roman"/>
          <w:sz w:val="24"/>
        </w:rPr>
        <w:t>3</w:t>
      </w:r>
      <w:r w:rsidRPr="00785CA3">
        <w:rPr>
          <w:rFonts w:ascii="Times New Roman" w:hAnsi="Times New Roman"/>
          <w:sz w:val="24"/>
        </w:rPr>
        <w:t>.</w:t>
      </w:r>
      <w:r w:rsidRPr="00785CA3">
        <w:rPr>
          <w:rFonts w:ascii="Times New Roman" w:hAnsi="Times New Roman"/>
          <w:sz w:val="24"/>
        </w:rPr>
        <w:tab/>
        <w:t xml:space="preserve">Taxation of </w:t>
      </w:r>
      <w:r w:rsidR="00263826" w:rsidRPr="00785CA3">
        <w:rPr>
          <w:rFonts w:ascii="Times New Roman" w:hAnsi="Times New Roman"/>
          <w:sz w:val="24"/>
        </w:rPr>
        <w:t>D</w:t>
      </w:r>
      <w:r w:rsidRPr="00785CA3">
        <w:rPr>
          <w:rFonts w:ascii="Times New Roman" w:hAnsi="Times New Roman"/>
          <w:sz w:val="24"/>
        </w:rPr>
        <w:t>iv</w:t>
      </w:r>
      <w:r w:rsidRPr="008A08F7">
        <w:rPr>
          <w:rFonts w:ascii="Times New Roman" w:hAnsi="Times New Roman"/>
          <w:sz w:val="24"/>
        </w:rPr>
        <w:t>idends</w:t>
      </w:r>
      <w:r w:rsidR="00263826" w:rsidRPr="00785CA3">
        <w:rPr>
          <w:rFonts w:ascii="Times New Roman" w:hAnsi="Times New Roman"/>
          <w:sz w:val="24"/>
        </w:rPr>
        <w:t>.</w:t>
      </w:r>
    </w:p>
    <w:p w14:paraId="6B81AA0D" w14:textId="77777777" w:rsidR="009710CA" w:rsidRPr="00785CA3" w:rsidRDefault="009710CA" w:rsidP="008C0F15">
      <w:pPr>
        <w:pStyle w:val="subquestionpara"/>
        <w:tabs>
          <w:tab w:val="clear" w:pos="1152"/>
          <w:tab w:val="left" w:pos="2160"/>
        </w:tabs>
        <w:spacing w:line="240" w:lineRule="auto"/>
        <w:ind w:left="720" w:hanging="720"/>
        <w:rPr>
          <w:rFonts w:ascii="Times New Roman" w:hAnsi="Times New Roman"/>
          <w:sz w:val="24"/>
        </w:rPr>
      </w:pPr>
    </w:p>
    <w:p w14:paraId="2FDF89A4" w14:textId="61B3E624" w:rsidR="00C15FE5" w:rsidRDefault="00077E39" w:rsidP="00314DA2">
      <w:pPr>
        <w:pStyle w:val="subquestionpara"/>
        <w:tabs>
          <w:tab w:val="clear" w:pos="1152"/>
        </w:tabs>
        <w:ind w:left="1440" w:hanging="720"/>
        <w:rPr>
          <w:rFonts w:ascii="Times New Roman" w:hAnsi="Times New Roman"/>
          <w:sz w:val="24"/>
        </w:rPr>
      </w:pPr>
      <w:r w:rsidRPr="00785CA3">
        <w:rPr>
          <w:rFonts w:ascii="Times New Roman" w:hAnsi="Times New Roman"/>
          <w:sz w:val="24"/>
        </w:rPr>
        <w:t>a.</w:t>
      </w:r>
      <w:r w:rsidRPr="00785CA3">
        <w:rPr>
          <w:rFonts w:ascii="Times New Roman" w:hAnsi="Times New Roman"/>
          <w:sz w:val="24"/>
        </w:rPr>
        <w:tab/>
        <w:t>C</w:t>
      </w:r>
      <w:r w:rsidR="003C0C5B" w:rsidRPr="00785CA3">
        <w:rPr>
          <w:rFonts w:ascii="Times New Roman" w:hAnsi="Times New Roman"/>
          <w:sz w:val="24"/>
        </w:rPr>
        <w:t>losely held corporation</w:t>
      </w:r>
      <w:r w:rsidR="009B4F8C">
        <w:rPr>
          <w:rFonts w:ascii="Times New Roman" w:hAnsi="Times New Roman"/>
          <w:sz w:val="24"/>
        </w:rPr>
        <w:t xml:space="preserve"> </w:t>
      </w:r>
      <w:r w:rsidR="009B4F8C" w:rsidRPr="009B4F8C">
        <w:rPr>
          <w:rFonts w:ascii="Times New Roman" w:hAnsi="Times New Roman"/>
          <w:sz w:val="24"/>
        </w:rPr>
        <w:t>shareholders try to convert dividend</w:t>
      </w:r>
      <w:r w:rsidR="009B4F8C">
        <w:rPr>
          <w:rFonts w:ascii="Times New Roman" w:hAnsi="Times New Roman"/>
          <w:sz w:val="24"/>
        </w:rPr>
        <w:t xml:space="preserve"> </w:t>
      </w:r>
      <w:r w:rsidR="009B4F8C" w:rsidRPr="009B4F8C">
        <w:rPr>
          <w:rFonts w:ascii="Times New Roman" w:hAnsi="Times New Roman"/>
          <w:sz w:val="24"/>
        </w:rPr>
        <w:t>distributions into tax-deductible expenses</w:t>
      </w:r>
      <w:r w:rsidR="00C15FE5" w:rsidRPr="00785CA3">
        <w:rPr>
          <w:rFonts w:ascii="Times New Roman" w:hAnsi="Times New Roman"/>
          <w:sz w:val="24"/>
        </w:rPr>
        <w:t>.</w:t>
      </w:r>
    </w:p>
    <w:p w14:paraId="6865A9D5" w14:textId="77777777" w:rsidR="009710CA" w:rsidRPr="00785CA3" w:rsidRDefault="009710CA" w:rsidP="008C0F15">
      <w:pPr>
        <w:pStyle w:val="subquestionpara"/>
        <w:tabs>
          <w:tab w:val="clear" w:pos="1152"/>
        </w:tabs>
        <w:spacing w:line="240" w:lineRule="auto"/>
        <w:ind w:left="1440" w:hanging="720"/>
        <w:rPr>
          <w:rFonts w:ascii="Times New Roman" w:hAnsi="Times New Roman"/>
          <w:sz w:val="24"/>
        </w:rPr>
      </w:pPr>
    </w:p>
    <w:p w14:paraId="5A3D3748" w14:textId="4D90CE1E" w:rsidR="000C4E01" w:rsidRPr="00785CA3" w:rsidRDefault="000C4E01" w:rsidP="008C0F15">
      <w:pPr>
        <w:pStyle w:val="subquestionpara"/>
        <w:tabs>
          <w:tab w:val="clear" w:pos="1152"/>
        </w:tabs>
        <w:spacing w:line="240" w:lineRule="auto"/>
        <w:ind w:left="2160" w:hanging="720"/>
        <w:rPr>
          <w:rFonts w:ascii="Times New Roman" w:hAnsi="Times New Roman"/>
          <w:sz w:val="24"/>
        </w:rPr>
      </w:pPr>
      <w:r w:rsidRPr="00785CA3">
        <w:rPr>
          <w:rFonts w:ascii="Times New Roman" w:hAnsi="Times New Roman"/>
          <w:sz w:val="24"/>
        </w:rPr>
        <w:t>(1)</w:t>
      </w:r>
      <w:r w:rsidRPr="00785CA3">
        <w:rPr>
          <w:rFonts w:ascii="Times New Roman" w:hAnsi="Times New Roman"/>
          <w:sz w:val="24"/>
        </w:rPr>
        <w:tab/>
      </w:r>
      <w:r w:rsidR="00C15FE5" w:rsidRPr="00785CA3">
        <w:rPr>
          <w:rFonts w:ascii="Times New Roman" w:hAnsi="Times New Roman"/>
          <w:sz w:val="24"/>
        </w:rPr>
        <w:t xml:space="preserve">One common way is to </w:t>
      </w:r>
      <w:r w:rsidR="009B4F8C">
        <w:rPr>
          <w:rFonts w:ascii="Times New Roman" w:hAnsi="Times New Roman"/>
          <w:sz w:val="24"/>
        </w:rPr>
        <w:t>increase</w:t>
      </w:r>
      <w:r w:rsidR="00C15FE5" w:rsidRPr="00785CA3">
        <w:rPr>
          <w:rFonts w:ascii="Times New Roman" w:hAnsi="Times New Roman"/>
          <w:sz w:val="24"/>
        </w:rPr>
        <w:t xml:space="preserve"> compensation to shareholder-employees.</w:t>
      </w:r>
    </w:p>
    <w:p w14:paraId="2DB01BB7" w14:textId="253FE985" w:rsidR="00C15FE5" w:rsidRPr="00785CA3" w:rsidRDefault="00C15FE5" w:rsidP="008C0F15">
      <w:pPr>
        <w:pStyle w:val="subquestionpara"/>
        <w:tabs>
          <w:tab w:val="clear" w:pos="1152"/>
        </w:tabs>
        <w:spacing w:line="240" w:lineRule="auto"/>
        <w:ind w:left="2160" w:hanging="720"/>
        <w:rPr>
          <w:rFonts w:ascii="Times New Roman" w:hAnsi="Times New Roman"/>
          <w:sz w:val="24"/>
        </w:rPr>
      </w:pPr>
    </w:p>
    <w:p w14:paraId="58240BBA" w14:textId="474022F9" w:rsidR="003C0C5B" w:rsidRPr="00785CA3" w:rsidRDefault="00263826" w:rsidP="00525CFA">
      <w:pPr>
        <w:pStyle w:val="subquestionpara"/>
        <w:numPr>
          <w:ilvl w:val="0"/>
          <w:numId w:val="24"/>
        </w:numPr>
        <w:tabs>
          <w:tab w:val="clear" w:pos="1152"/>
        </w:tabs>
        <w:spacing w:line="240" w:lineRule="auto"/>
        <w:ind w:left="2160" w:hanging="720"/>
        <w:rPr>
          <w:rFonts w:ascii="Times New Roman" w:hAnsi="Times New Roman"/>
          <w:sz w:val="24"/>
        </w:rPr>
      </w:pPr>
      <w:r w:rsidRPr="00785CA3">
        <w:rPr>
          <w:rFonts w:ascii="Times New Roman" w:hAnsi="Times New Roman"/>
          <w:sz w:val="24"/>
        </w:rPr>
        <w:t xml:space="preserve">The </w:t>
      </w:r>
      <w:r w:rsidR="00C15FE5" w:rsidRPr="00785CA3">
        <w:rPr>
          <w:rFonts w:ascii="Times New Roman" w:hAnsi="Times New Roman"/>
          <w:sz w:val="24"/>
        </w:rPr>
        <w:t>IRS scrutinizes compensation and other economic transactions</w:t>
      </w:r>
      <w:r w:rsidR="00C54D91" w:rsidRPr="00785CA3">
        <w:rPr>
          <w:rFonts w:ascii="Times New Roman" w:hAnsi="Times New Roman"/>
          <w:sz w:val="24"/>
        </w:rPr>
        <w:t xml:space="preserve"> (e.g., </w:t>
      </w:r>
      <w:r w:rsidR="009B4F8C">
        <w:rPr>
          <w:rFonts w:ascii="Times New Roman" w:hAnsi="Times New Roman"/>
          <w:sz w:val="24"/>
        </w:rPr>
        <w:t>loans, leases, and sales</w:t>
      </w:r>
      <w:r w:rsidR="00C54D91" w:rsidRPr="00785CA3">
        <w:rPr>
          <w:rFonts w:ascii="Times New Roman" w:hAnsi="Times New Roman"/>
          <w:sz w:val="24"/>
        </w:rPr>
        <w:t xml:space="preserve">) </w:t>
      </w:r>
      <w:r w:rsidR="00C15FE5" w:rsidRPr="00785CA3">
        <w:rPr>
          <w:rFonts w:ascii="Times New Roman" w:hAnsi="Times New Roman"/>
          <w:sz w:val="24"/>
        </w:rPr>
        <w:t>between closely held corporations and their shareholders for reasonableness.</w:t>
      </w:r>
    </w:p>
    <w:p w14:paraId="0C5E0F04" w14:textId="77777777" w:rsidR="000C4E01" w:rsidRPr="00785CA3" w:rsidRDefault="000C4E01" w:rsidP="008C0F15">
      <w:pPr>
        <w:pStyle w:val="subquestionpara"/>
        <w:tabs>
          <w:tab w:val="clear" w:pos="1152"/>
        </w:tabs>
        <w:spacing w:line="240" w:lineRule="auto"/>
        <w:ind w:left="1530" w:firstLine="0"/>
        <w:rPr>
          <w:rFonts w:ascii="Times New Roman" w:hAnsi="Times New Roman"/>
          <w:sz w:val="24"/>
        </w:rPr>
      </w:pPr>
    </w:p>
    <w:p w14:paraId="03F79C54" w14:textId="39D5C820" w:rsidR="00D755EB" w:rsidRPr="00785CA3" w:rsidRDefault="00D755EB" w:rsidP="00314DA2">
      <w:pPr>
        <w:pStyle w:val="subquestionpara"/>
        <w:tabs>
          <w:tab w:val="clear" w:pos="1152"/>
        </w:tabs>
        <w:spacing w:line="240" w:lineRule="auto"/>
        <w:ind w:left="1440" w:hanging="720"/>
        <w:rPr>
          <w:rFonts w:ascii="Times New Roman" w:hAnsi="Times New Roman"/>
          <w:sz w:val="24"/>
        </w:rPr>
      </w:pPr>
      <w:r w:rsidRPr="00785CA3">
        <w:rPr>
          <w:rFonts w:ascii="Times New Roman" w:hAnsi="Times New Roman"/>
          <w:sz w:val="24"/>
        </w:rPr>
        <w:lastRenderedPageBreak/>
        <w:t>b</w:t>
      </w:r>
      <w:r w:rsidR="00077E39" w:rsidRPr="00785CA3">
        <w:rPr>
          <w:rFonts w:ascii="Times New Roman" w:hAnsi="Times New Roman"/>
          <w:sz w:val="24"/>
        </w:rPr>
        <w:t>.</w:t>
      </w:r>
      <w:r w:rsidR="00077E39" w:rsidRPr="00785CA3">
        <w:rPr>
          <w:rFonts w:ascii="Times New Roman" w:hAnsi="Times New Roman"/>
          <w:sz w:val="24"/>
        </w:rPr>
        <w:tab/>
      </w:r>
      <w:r w:rsidR="00A9084C" w:rsidRPr="00785CA3">
        <w:rPr>
          <w:rFonts w:ascii="Times New Roman" w:hAnsi="Times New Roman"/>
          <w:sz w:val="24"/>
        </w:rPr>
        <w:t xml:space="preserve">Dividend eligibility for the capital gains rates </w:t>
      </w:r>
      <w:r w:rsidR="00E85B5A" w:rsidRPr="00785CA3">
        <w:rPr>
          <w:rFonts w:ascii="Times New Roman" w:hAnsi="Times New Roman"/>
          <w:sz w:val="24"/>
        </w:rPr>
        <w:t xml:space="preserve">alleviates some of the </w:t>
      </w:r>
      <w:r w:rsidR="00B2744D" w:rsidRPr="00785CA3">
        <w:rPr>
          <w:rFonts w:ascii="Times New Roman" w:hAnsi="Times New Roman"/>
          <w:sz w:val="24"/>
        </w:rPr>
        <w:t>double taxation</w:t>
      </w:r>
      <w:r w:rsidR="00E85B5A" w:rsidRPr="00785CA3">
        <w:rPr>
          <w:rFonts w:ascii="Times New Roman" w:hAnsi="Times New Roman"/>
          <w:sz w:val="24"/>
        </w:rPr>
        <w:t xml:space="preserve"> effect</w:t>
      </w:r>
      <w:r w:rsidR="00B2744D" w:rsidRPr="00785CA3">
        <w:rPr>
          <w:rFonts w:ascii="Times New Roman" w:hAnsi="Times New Roman"/>
          <w:sz w:val="24"/>
        </w:rPr>
        <w:t xml:space="preserve">. </w:t>
      </w:r>
      <w:r w:rsidRPr="00785CA3">
        <w:rPr>
          <w:rFonts w:ascii="Times New Roman" w:hAnsi="Times New Roman"/>
          <w:sz w:val="24"/>
        </w:rPr>
        <w:t>The current tax rate applicable to qualified dividend income (and long-term capital gains) is 15</w:t>
      </w:r>
      <w:r w:rsidR="00263826" w:rsidRPr="00785CA3">
        <w:rPr>
          <w:rFonts w:ascii="Times New Roman" w:hAnsi="Times New Roman"/>
          <w:sz w:val="24"/>
        </w:rPr>
        <w:t>%</w:t>
      </w:r>
      <w:r w:rsidR="001B1A01">
        <w:rPr>
          <w:rFonts w:ascii="Times New Roman" w:hAnsi="Times New Roman"/>
          <w:sz w:val="24"/>
        </w:rPr>
        <w:t>,</w:t>
      </w:r>
      <w:r w:rsidRPr="00785CA3">
        <w:rPr>
          <w:rFonts w:ascii="Times New Roman" w:hAnsi="Times New Roman"/>
          <w:sz w:val="24"/>
        </w:rPr>
        <w:t xml:space="preserve"> </w:t>
      </w:r>
      <w:r w:rsidR="001B1A01">
        <w:rPr>
          <w:rFonts w:ascii="Times New Roman" w:hAnsi="Times New Roman"/>
          <w:sz w:val="24"/>
        </w:rPr>
        <w:t>(20%</w:t>
      </w:r>
      <w:r w:rsidRPr="00785CA3">
        <w:rPr>
          <w:rFonts w:ascii="Times New Roman" w:hAnsi="Times New Roman"/>
          <w:sz w:val="24"/>
        </w:rPr>
        <w:t xml:space="preserve"> for </w:t>
      </w:r>
      <w:r w:rsidR="001B1A01">
        <w:rPr>
          <w:rFonts w:ascii="Times New Roman" w:hAnsi="Times New Roman"/>
          <w:sz w:val="24"/>
        </w:rPr>
        <w:t xml:space="preserve">high-income </w:t>
      </w:r>
      <w:r w:rsidRPr="00785CA3">
        <w:rPr>
          <w:rFonts w:ascii="Times New Roman" w:hAnsi="Times New Roman"/>
          <w:sz w:val="24"/>
        </w:rPr>
        <w:t>taxpayers</w:t>
      </w:r>
      <w:r w:rsidR="001B1A01">
        <w:rPr>
          <w:rFonts w:ascii="Times New Roman" w:hAnsi="Times New Roman"/>
          <w:sz w:val="24"/>
        </w:rPr>
        <w:t xml:space="preserve">; </w:t>
      </w:r>
      <w:r w:rsidRPr="00785CA3">
        <w:rPr>
          <w:rFonts w:ascii="Times New Roman" w:hAnsi="Times New Roman"/>
          <w:sz w:val="24"/>
        </w:rPr>
        <w:t>0</w:t>
      </w:r>
      <w:r w:rsidR="00263826" w:rsidRPr="00785CA3">
        <w:rPr>
          <w:rFonts w:ascii="Times New Roman" w:hAnsi="Times New Roman"/>
          <w:sz w:val="24"/>
        </w:rPr>
        <w:t>%</w:t>
      </w:r>
      <w:r w:rsidRPr="00785CA3">
        <w:rPr>
          <w:rFonts w:ascii="Times New Roman" w:hAnsi="Times New Roman"/>
          <w:sz w:val="24"/>
        </w:rPr>
        <w:t xml:space="preserve"> for </w:t>
      </w:r>
      <w:r w:rsidR="001B1A01">
        <w:rPr>
          <w:rFonts w:ascii="Times New Roman" w:hAnsi="Times New Roman"/>
          <w:sz w:val="24"/>
        </w:rPr>
        <w:t xml:space="preserve">lower-income </w:t>
      </w:r>
      <w:r w:rsidRPr="00785CA3">
        <w:rPr>
          <w:rFonts w:ascii="Times New Roman" w:hAnsi="Times New Roman"/>
          <w:sz w:val="24"/>
        </w:rPr>
        <w:t>taxpayers).</w:t>
      </w:r>
    </w:p>
    <w:p w14:paraId="014CDFCA" w14:textId="77777777" w:rsidR="00DF460F" w:rsidRPr="00785CA3" w:rsidRDefault="00DF460F" w:rsidP="008C0F15">
      <w:pPr>
        <w:pStyle w:val="subquestionpara"/>
        <w:tabs>
          <w:tab w:val="clear" w:pos="1152"/>
        </w:tabs>
        <w:spacing w:line="240" w:lineRule="auto"/>
        <w:ind w:left="2160" w:firstLine="0"/>
        <w:rPr>
          <w:rFonts w:ascii="Times New Roman" w:hAnsi="Times New Roman"/>
          <w:sz w:val="24"/>
        </w:rPr>
      </w:pPr>
    </w:p>
    <w:p w14:paraId="6FFDC46A" w14:textId="14DADFC9" w:rsidR="008C2E00" w:rsidRPr="008C2E00" w:rsidRDefault="008A21D8" w:rsidP="00371EB5">
      <w:pPr>
        <w:pStyle w:val="subquestionpara"/>
        <w:tabs>
          <w:tab w:val="left" w:pos="0"/>
        </w:tabs>
        <w:spacing w:line="240" w:lineRule="auto"/>
        <w:ind w:left="720" w:hanging="720"/>
        <w:rPr>
          <w:rFonts w:ascii="Times New Roman" w:hAnsi="Times New Roman"/>
          <w:sz w:val="24"/>
        </w:rPr>
      </w:pPr>
      <w:r w:rsidRPr="00785CA3">
        <w:rPr>
          <w:rFonts w:ascii="Times New Roman" w:hAnsi="Times New Roman"/>
          <w:sz w:val="24"/>
        </w:rPr>
        <w:t>1</w:t>
      </w:r>
      <w:r w:rsidR="001B1A01">
        <w:rPr>
          <w:rFonts w:ascii="Times New Roman" w:hAnsi="Times New Roman"/>
          <w:sz w:val="24"/>
        </w:rPr>
        <w:t>4</w:t>
      </w:r>
      <w:r w:rsidRPr="00785CA3">
        <w:rPr>
          <w:rFonts w:ascii="Times New Roman" w:hAnsi="Times New Roman"/>
          <w:sz w:val="24"/>
        </w:rPr>
        <w:t>.</w:t>
      </w:r>
      <w:r w:rsidRPr="00785CA3">
        <w:rPr>
          <w:rFonts w:ascii="Times New Roman" w:hAnsi="Times New Roman"/>
          <w:sz w:val="24"/>
        </w:rPr>
        <w:tab/>
      </w:r>
      <w:r w:rsidR="008268E5" w:rsidRPr="00785CA3">
        <w:rPr>
          <w:rFonts w:ascii="Times New Roman" w:hAnsi="Times New Roman"/>
          <w:sz w:val="24"/>
        </w:rPr>
        <w:t>Comparison of Corporations and Other Forms of Doing Business</w:t>
      </w:r>
      <w:r w:rsidR="00024C69" w:rsidRPr="00785CA3">
        <w:rPr>
          <w:rFonts w:ascii="Times New Roman" w:hAnsi="Times New Roman"/>
          <w:sz w:val="24"/>
        </w:rPr>
        <w:t>.</w:t>
      </w:r>
      <w:r w:rsidR="008C2E00">
        <w:rPr>
          <w:rFonts w:ascii="Times New Roman" w:hAnsi="Times New Roman"/>
          <w:sz w:val="24"/>
        </w:rPr>
        <w:t xml:space="preserve"> </w:t>
      </w:r>
      <w:r w:rsidR="008C2E00" w:rsidRPr="008C2E00">
        <w:rPr>
          <w:rFonts w:ascii="Times New Roman" w:hAnsi="Times New Roman"/>
          <w:sz w:val="24"/>
        </w:rPr>
        <w:t>When comparing C</w:t>
      </w:r>
      <w:r w:rsidR="008D19D4">
        <w:rPr>
          <w:rFonts w:ascii="Times New Roman" w:hAnsi="Times New Roman"/>
          <w:sz w:val="24"/>
        </w:rPr>
        <w:t> </w:t>
      </w:r>
      <w:r w:rsidR="008C2E00" w:rsidRPr="008C2E00">
        <w:rPr>
          <w:rFonts w:ascii="Times New Roman" w:hAnsi="Times New Roman"/>
          <w:sz w:val="24"/>
        </w:rPr>
        <w:t>corporations to other business forms, there are a number of factors</w:t>
      </w:r>
      <w:r w:rsidR="008C2E00">
        <w:rPr>
          <w:rFonts w:ascii="Times New Roman" w:hAnsi="Times New Roman"/>
          <w:sz w:val="24"/>
        </w:rPr>
        <w:t xml:space="preserve"> </w:t>
      </w:r>
      <w:r w:rsidR="008C2E00" w:rsidRPr="008C2E00">
        <w:rPr>
          <w:rFonts w:ascii="Times New Roman" w:hAnsi="Times New Roman"/>
          <w:sz w:val="24"/>
        </w:rPr>
        <w:t>to consider including:</w:t>
      </w:r>
    </w:p>
    <w:p w14:paraId="7564F776" w14:textId="416F2FA7" w:rsidR="008C2E00" w:rsidRPr="008C2E00" w:rsidRDefault="008C2E00" w:rsidP="00371EB5">
      <w:pPr>
        <w:pStyle w:val="subquestionpara"/>
        <w:numPr>
          <w:ilvl w:val="0"/>
          <w:numId w:val="42"/>
        </w:numPr>
        <w:tabs>
          <w:tab w:val="clear" w:pos="1152"/>
          <w:tab w:val="left" w:pos="0"/>
        </w:tabs>
        <w:spacing w:line="240" w:lineRule="auto"/>
        <w:ind w:left="1440" w:hanging="720"/>
        <w:rPr>
          <w:rFonts w:ascii="Times New Roman" w:hAnsi="Times New Roman"/>
          <w:sz w:val="24"/>
        </w:rPr>
      </w:pPr>
      <w:r w:rsidRPr="008C2E00">
        <w:rPr>
          <w:rFonts w:ascii="Times New Roman" w:hAnsi="Times New Roman"/>
          <w:sz w:val="24"/>
        </w:rPr>
        <w:t>Tax rates</w:t>
      </w:r>
      <w:r w:rsidR="001535C3">
        <w:rPr>
          <w:rFonts w:ascii="Times New Roman" w:hAnsi="Times New Roman"/>
          <w:sz w:val="24"/>
        </w:rPr>
        <w:t>.</w:t>
      </w:r>
    </w:p>
    <w:p w14:paraId="3D766BDE" w14:textId="6183E45F" w:rsidR="008C2E00" w:rsidRPr="008C2E00" w:rsidRDefault="008C2E00" w:rsidP="00371EB5">
      <w:pPr>
        <w:pStyle w:val="subquestionpara"/>
        <w:numPr>
          <w:ilvl w:val="0"/>
          <w:numId w:val="42"/>
        </w:numPr>
        <w:tabs>
          <w:tab w:val="clear" w:pos="1152"/>
          <w:tab w:val="left" w:pos="0"/>
        </w:tabs>
        <w:spacing w:line="240" w:lineRule="auto"/>
        <w:ind w:left="1440" w:hanging="720"/>
        <w:rPr>
          <w:rFonts w:ascii="Times New Roman" w:hAnsi="Times New Roman"/>
          <w:sz w:val="24"/>
        </w:rPr>
      </w:pPr>
      <w:r w:rsidRPr="008C2E00">
        <w:rPr>
          <w:rFonts w:ascii="Times New Roman" w:hAnsi="Times New Roman"/>
          <w:sz w:val="24"/>
        </w:rPr>
        <w:t>Character of business income</w:t>
      </w:r>
      <w:r w:rsidR="001535C3">
        <w:rPr>
          <w:rFonts w:ascii="Times New Roman" w:hAnsi="Times New Roman"/>
          <w:sz w:val="24"/>
        </w:rPr>
        <w:t>.</w:t>
      </w:r>
    </w:p>
    <w:p w14:paraId="03150330" w14:textId="1BDCEE06" w:rsidR="008C2E00" w:rsidRPr="008C2E00" w:rsidRDefault="008C2E00" w:rsidP="00371EB5">
      <w:pPr>
        <w:pStyle w:val="subquestionpara"/>
        <w:numPr>
          <w:ilvl w:val="0"/>
          <w:numId w:val="42"/>
        </w:numPr>
        <w:tabs>
          <w:tab w:val="clear" w:pos="1152"/>
          <w:tab w:val="left" w:pos="0"/>
        </w:tabs>
        <w:spacing w:line="240" w:lineRule="auto"/>
        <w:ind w:left="1440" w:hanging="720"/>
        <w:rPr>
          <w:rFonts w:ascii="Times New Roman" w:hAnsi="Times New Roman"/>
          <w:sz w:val="24"/>
        </w:rPr>
      </w:pPr>
      <w:r w:rsidRPr="008C2E00">
        <w:rPr>
          <w:rFonts w:ascii="Times New Roman" w:hAnsi="Times New Roman"/>
          <w:sz w:val="24"/>
        </w:rPr>
        <w:t>Business losses</w:t>
      </w:r>
      <w:r w:rsidR="001535C3">
        <w:rPr>
          <w:rFonts w:ascii="Times New Roman" w:hAnsi="Times New Roman"/>
          <w:sz w:val="24"/>
        </w:rPr>
        <w:t>.</w:t>
      </w:r>
    </w:p>
    <w:p w14:paraId="5827EC41" w14:textId="05A42A09" w:rsidR="008C2E00" w:rsidRPr="008C2E00" w:rsidRDefault="008C2E00" w:rsidP="00371EB5">
      <w:pPr>
        <w:pStyle w:val="subquestionpara"/>
        <w:numPr>
          <w:ilvl w:val="0"/>
          <w:numId w:val="42"/>
        </w:numPr>
        <w:tabs>
          <w:tab w:val="clear" w:pos="1152"/>
          <w:tab w:val="left" w:pos="0"/>
        </w:tabs>
        <w:spacing w:line="240" w:lineRule="auto"/>
        <w:ind w:left="1440" w:hanging="720"/>
        <w:rPr>
          <w:rFonts w:ascii="Times New Roman" w:hAnsi="Times New Roman"/>
          <w:sz w:val="24"/>
        </w:rPr>
      </w:pPr>
      <w:r w:rsidRPr="008C2E00">
        <w:rPr>
          <w:rFonts w:ascii="Times New Roman" w:hAnsi="Times New Roman"/>
          <w:sz w:val="24"/>
        </w:rPr>
        <w:t>Employment taxes</w:t>
      </w:r>
      <w:r w:rsidR="001535C3">
        <w:rPr>
          <w:rFonts w:ascii="Times New Roman" w:hAnsi="Times New Roman"/>
          <w:sz w:val="24"/>
        </w:rPr>
        <w:t>.</w:t>
      </w:r>
    </w:p>
    <w:p w14:paraId="7D31F9AF" w14:textId="05ED442F" w:rsidR="00D755EB" w:rsidRPr="00785CA3" w:rsidRDefault="008C2E00" w:rsidP="00C755D0">
      <w:pPr>
        <w:pStyle w:val="subquestionpara"/>
        <w:numPr>
          <w:ilvl w:val="0"/>
          <w:numId w:val="42"/>
        </w:numPr>
        <w:tabs>
          <w:tab w:val="clear" w:pos="1152"/>
          <w:tab w:val="left" w:pos="0"/>
        </w:tabs>
        <w:spacing w:line="240" w:lineRule="auto"/>
        <w:ind w:left="1440" w:hanging="720"/>
        <w:rPr>
          <w:rFonts w:ascii="Times New Roman" w:hAnsi="Times New Roman"/>
          <w:sz w:val="24"/>
        </w:rPr>
      </w:pPr>
      <w:r w:rsidRPr="008C2E00">
        <w:rPr>
          <w:rFonts w:ascii="Times New Roman" w:hAnsi="Times New Roman"/>
          <w:sz w:val="24"/>
        </w:rPr>
        <w:t>State taxes</w:t>
      </w:r>
      <w:r w:rsidR="001535C3">
        <w:rPr>
          <w:rFonts w:ascii="Times New Roman" w:hAnsi="Times New Roman"/>
          <w:sz w:val="24"/>
        </w:rPr>
        <w:t>.</w:t>
      </w:r>
    </w:p>
    <w:p w14:paraId="01449C59" w14:textId="77777777" w:rsidR="008268E5" w:rsidRPr="00785CA3" w:rsidRDefault="008268E5" w:rsidP="008C0F15">
      <w:pPr>
        <w:pStyle w:val="subquestionpara"/>
        <w:tabs>
          <w:tab w:val="clear" w:pos="1152"/>
          <w:tab w:val="left" w:pos="540"/>
        </w:tabs>
        <w:spacing w:line="240" w:lineRule="auto"/>
        <w:ind w:hanging="1242"/>
        <w:rPr>
          <w:rFonts w:ascii="Times New Roman" w:hAnsi="Times New Roman"/>
          <w:sz w:val="24"/>
        </w:rPr>
      </w:pPr>
    </w:p>
    <w:p w14:paraId="6095B49C" w14:textId="0476E210" w:rsidR="001B1A01" w:rsidRDefault="00795253" w:rsidP="00371EB5">
      <w:pPr>
        <w:pStyle w:val="subquestionpara"/>
        <w:tabs>
          <w:tab w:val="clear" w:pos="1152"/>
        </w:tabs>
        <w:spacing w:line="240" w:lineRule="auto"/>
        <w:ind w:left="1440" w:hanging="720"/>
        <w:rPr>
          <w:rFonts w:ascii="Times New Roman" w:hAnsi="Times New Roman"/>
          <w:sz w:val="24"/>
        </w:rPr>
      </w:pPr>
      <w:r>
        <w:rPr>
          <w:rFonts w:ascii="Times New Roman" w:hAnsi="Times New Roman"/>
          <w:sz w:val="24"/>
        </w:rPr>
        <w:t>a.</w:t>
      </w:r>
      <w:r>
        <w:rPr>
          <w:rFonts w:ascii="Times New Roman" w:hAnsi="Times New Roman"/>
          <w:sz w:val="24"/>
        </w:rPr>
        <w:tab/>
      </w:r>
      <w:r w:rsidR="00165BF1" w:rsidRPr="00314DA2">
        <w:rPr>
          <w:rFonts w:ascii="Times New Roman" w:hAnsi="Times New Roman"/>
          <w:i/>
          <w:sz w:val="24"/>
        </w:rPr>
        <w:t>Tax Rates.</w:t>
      </w:r>
      <w:r w:rsidR="00165BF1">
        <w:rPr>
          <w:rFonts w:ascii="Times New Roman" w:hAnsi="Times New Roman"/>
          <w:sz w:val="24"/>
        </w:rPr>
        <w:t xml:space="preserve"> </w:t>
      </w:r>
      <w:r w:rsidR="00C36BD1">
        <w:rPr>
          <w:rFonts w:ascii="Times New Roman" w:hAnsi="Times New Roman"/>
          <w:sz w:val="24"/>
        </w:rPr>
        <w:t>A</w:t>
      </w:r>
      <w:r w:rsidR="001B1A01" w:rsidRPr="001B1A01">
        <w:rPr>
          <w:rFonts w:ascii="Times New Roman" w:hAnsi="Times New Roman"/>
          <w:sz w:val="24"/>
        </w:rPr>
        <w:t xml:space="preserve"> flat rate of 21</w:t>
      </w:r>
      <w:r w:rsidR="001B1A01">
        <w:rPr>
          <w:rFonts w:ascii="Times New Roman" w:hAnsi="Times New Roman"/>
          <w:sz w:val="24"/>
        </w:rPr>
        <w:t>%</w:t>
      </w:r>
      <w:r w:rsidR="001B1A01" w:rsidRPr="001B1A01">
        <w:rPr>
          <w:rFonts w:ascii="Times New Roman" w:hAnsi="Times New Roman"/>
          <w:sz w:val="24"/>
        </w:rPr>
        <w:t xml:space="preserve"> applies to corporate taxable income</w:t>
      </w:r>
      <w:r w:rsidR="001B1A01">
        <w:rPr>
          <w:rFonts w:ascii="Times New Roman" w:hAnsi="Times New Roman"/>
          <w:sz w:val="24"/>
        </w:rPr>
        <w:t>.</w:t>
      </w:r>
    </w:p>
    <w:p w14:paraId="06C50007" w14:textId="77777777" w:rsidR="001B1A01" w:rsidRDefault="001B1A01" w:rsidP="001B1A01">
      <w:pPr>
        <w:pStyle w:val="subquestionpara"/>
        <w:ind w:left="1440" w:hanging="720"/>
        <w:rPr>
          <w:rFonts w:ascii="Times New Roman" w:hAnsi="Times New Roman"/>
          <w:sz w:val="24"/>
        </w:rPr>
      </w:pPr>
    </w:p>
    <w:p w14:paraId="5D577CF9" w14:textId="40BC4CAF" w:rsidR="008268E5" w:rsidRPr="00785CA3" w:rsidRDefault="001B1A01" w:rsidP="001B1A01">
      <w:pPr>
        <w:pStyle w:val="subquestionpara"/>
        <w:tabs>
          <w:tab w:val="clear" w:pos="1152"/>
        </w:tabs>
        <w:spacing w:line="240" w:lineRule="auto"/>
        <w:ind w:left="2160" w:hanging="720"/>
        <w:rPr>
          <w:rFonts w:ascii="Times New Roman" w:hAnsi="Times New Roman"/>
          <w:sz w:val="24"/>
        </w:rPr>
      </w:pPr>
      <w:r>
        <w:rPr>
          <w:rFonts w:ascii="Times New Roman" w:hAnsi="Times New Roman"/>
          <w:sz w:val="24"/>
        </w:rPr>
        <w:t>(</w:t>
      </w:r>
      <w:r w:rsidR="00C36BD1">
        <w:rPr>
          <w:rFonts w:ascii="Times New Roman" w:hAnsi="Times New Roman"/>
          <w:sz w:val="24"/>
        </w:rPr>
        <w:t>1</w:t>
      </w:r>
      <w:r>
        <w:rPr>
          <w:rFonts w:ascii="Times New Roman" w:hAnsi="Times New Roman"/>
          <w:sz w:val="24"/>
        </w:rPr>
        <w:t>)</w:t>
      </w:r>
      <w:r>
        <w:rPr>
          <w:rFonts w:ascii="Times New Roman" w:hAnsi="Times New Roman"/>
          <w:sz w:val="24"/>
        </w:rPr>
        <w:tab/>
      </w:r>
      <w:r w:rsidR="00DF460F" w:rsidRPr="008A08F7">
        <w:rPr>
          <w:rFonts w:ascii="Times New Roman" w:hAnsi="Times New Roman"/>
          <w:sz w:val="24"/>
        </w:rPr>
        <w:t xml:space="preserve">The marginal rates for individuals range from </w:t>
      </w:r>
      <w:r w:rsidR="00795253" w:rsidRPr="008A08F7">
        <w:rPr>
          <w:rFonts w:ascii="Times New Roman" w:hAnsi="Times New Roman"/>
          <w:sz w:val="24"/>
        </w:rPr>
        <w:t>1</w:t>
      </w:r>
      <w:r w:rsidR="00795253">
        <w:rPr>
          <w:rFonts w:ascii="Times New Roman" w:hAnsi="Times New Roman"/>
          <w:sz w:val="24"/>
        </w:rPr>
        <w:t>0</w:t>
      </w:r>
      <w:r w:rsidR="00DF460F" w:rsidRPr="008A08F7">
        <w:rPr>
          <w:rFonts w:ascii="Times New Roman" w:hAnsi="Times New Roman"/>
          <w:sz w:val="24"/>
        </w:rPr>
        <w:t>% to 3</w:t>
      </w:r>
      <w:r w:rsidR="00710FC0">
        <w:rPr>
          <w:rFonts w:ascii="Times New Roman" w:hAnsi="Times New Roman"/>
          <w:sz w:val="24"/>
        </w:rPr>
        <w:t>7</w:t>
      </w:r>
      <w:r w:rsidR="00DF460F" w:rsidRPr="008A08F7">
        <w:rPr>
          <w:rFonts w:ascii="Times New Roman" w:hAnsi="Times New Roman"/>
          <w:sz w:val="24"/>
        </w:rPr>
        <w:t>%.</w:t>
      </w:r>
      <w:r w:rsidR="008268E5" w:rsidRPr="008A08F7">
        <w:rPr>
          <w:rFonts w:ascii="Times New Roman" w:hAnsi="Times New Roman"/>
          <w:sz w:val="24"/>
        </w:rPr>
        <w:t xml:space="preserve"> </w:t>
      </w:r>
      <w:r w:rsidR="00DF460F" w:rsidRPr="008A08F7">
        <w:rPr>
          <w:rFonts w:ascii="Times New Roman" w:hAnsi="Times New Roman"/>
          <w:sz w:val="24"/>
        </w:rPr>
        <w:t>Therefore, in many cases, the tax burden will be greater if a business is operated as a corporation.</w:t>
      </w:r>
      <w:r>
        <w:rPr>
          <w:rFonts w:ascii="Times New Roman" w:hAnsi="Times New Roman"/>
          <w:sz w:val="24"/>
        </w:rPr>
        <w:t xml:space="preserve"> (See Example 3 in the text.)</w:t>
      </w:r>
    </w:p>
    <w:p w14:paraId="395787F6" w14:textId="77777777" w:rsidR="000C4E01" w:rsidRPr="00785CA3" w:rsidRDefault="000C4E01" w:rsidP="008C0F15">
      <w:pPr>
        <w:pStyle w:val="subquestionpara"/>
        <w:tabs>
          <w:tab w:val="clear" w:pos="1152"/>
          <w:tab w:val="left" w:pos="1530"/>
        </w:tabs>
        <w:spacing w:line="240" w:lineRule="auto"/>
        <w:ind w:left="1440" w:firstLine="0"/>
        <w:rPr>
          <w:rFonts w:ascii="Times New Roman" w:hAnsi="Times New Roman"/>
          <w:sz w:val="24"/>
        </w:rPr>
      </w:pPr>
    </w:p>
    <w:p w14:paraId="7E03F5B2" w14:textId="12D6A2FA" w:rsidR="00710FC0" w:rsidRDefault="001B1A01" w:rsidP="00710FC0">
      <w:pPr>
        <w:pStyle w:val="subquestionpara"/>
        <w:tabs>
          <w:tab w:val="clear" w:pos="1152"/>
        </w:tabs>
        <w:spacing w:line="240" w:lineRule="auto"/>
        <w:ind w:left="2160" w:hanging="720"/>
        <w:rPr>
          <w:rFonts w:ascii="Times New Roman" w:hAnsi="Times New Roman"/>
          <w:sz w:val="24"/>
        </w:rPr>
      </w:pPr>
      <w:r>
        <w:rPr>
          <w:rFonts w:ascii="Times New Roman" w:hAnsi="Times New Roman"/>
          <w:sz w:val="24"/>
        </w:rPr>
        <w:t>(</w:t>
      </w:r>
      <w:r w:rsidR="00555DDC">
        <w:rPr>
          <w:rFonts w:ascii="Times New Roman" w:hAnsi="Times New Roman"/>
          <w:sz w:val="24"/>
        </w:rPr>
        <w:t>2</w:t>
      </w:r>
      <w:r>
        <w:rPr>
          <w:rFonts w:ascii="Times New Roman" w:hAnsi="Times New Roman"/>
          <w:sz w:val="24"/>
        </w:rPr>
        <w:t>)</w:t>
      </w:r>
      <w:r>
        <w:rPr>
          <w:rFonts w:ascii="Times New Roman" w:hAnsi="Times New Roman"/>
          <w:sz w:val="24"/>
        </w:rPr>
        <w:tab/>
      </w:r>
      <w:r w:rsidR="00DF460F" w:rsidRPr="00785CA3">
        <w:rPr>
          <w:rFonts w:ascii="Times New Roman" w:hAnsi="Times New Roman"/>
          <w:sz w:val="24"/>
        </w:rPr>
        <w:t>In other cases, when the corporate marginal tax rate is lower than the individual marginal rate, the corporate form of doing business presents tax savings opportunities</w:t>
      </w:r>
      <w:r w:rsidR="008268E5" w:rsidRPr="00785CA3">
        <w:rPr>
          <w:rFonts w:ascii="Times New Roman" w:hAnsi="Times New Roman"/>
          <w:sz w:val="24"/>
        </w:rPr>
        <w:t>.</w:t>
      </w:r>
      <w:r w:rsidR="004373A7">
        <w:rPr>
          <w:rFonts w:ascii="Times New Roman" w:hAnsi="Times New Roman"/>
          <w:sz w:val="24"/>
        </w:rPr>
        <w:t xml:space="preserve"> </w:t>
      </w:r>
    </w:p>
    <w:p w14:paraId="6E338C04" w14:textId="77777777" w:rsidR="00710FC0" w:rsidRDefault="00710FC0" w:rsidP="00710FC0">
      <w:pPr>
        <w:pStyle w:val="subquestionpara"/>
        <w:tabs>
          <w:tab w:val="clear" w:pos="1152"/>
        </w:tabs>
        <w:spacing w:line="240" w:lineRule="auto"/>
        <w:ind w:left="2160" w:hanging="720"/>
        <w:rPr>
          <w:rFonts w:ascii="Times New Roman" w:hAnsi="Times New Roman"/>
          <w:sz w:val="24"/>
        </w:rPr>
      </w:pPr>
    </w:p>
    <w:p w14:paraId="371A6650" w14:textId="0B698558" w:rsidR="000C4E01" w:rsidRPr="00900D89" w:rsidRDefault="00710FC0" w:rsidP="00710FC0">
      <w:pPr>
        <w:pStyle w:val="subquestionpara"/>
        <w:tabs>
          <w:tab w:val="clear" w:pos="1152"/>
        </w:tabs>
        <w:spacing w:line="240" w:lineRule="auto"/>
        <w:ind w:left="2160" w:hanging="720"/>
        <w:rPr>
          <w:rFonts w:ascii="Times New Roman" w:hAnsi="Times New Roman"/>
          <w:sz w:val="24"/>
        </w:rPr>
      </w:pPr>
      <w:r>
        <w:rPr>
          <w:rFonts w:ascii="Times New Roman" w:hAnsi="Times New Roman"/>
          <w:sz w:val="24"/>
        </w:rPr>
        <w:t>(</w:t>
      </w:r>
      <w:r w:rsidR="00555DDC">
        <w:rPr>
          <w:rFonts w:ascii="Times New Roman" w:hAnsi="Times New Roman"/>
          <w:sz w:val="24"/>
        </w:rPr>
        <w:t>3</w:t>
      </w:r>
      <w:r>
        <w:rPr>
          <w:rFonts w:ascii="Times New Roman" w:hAnsi="Times New Roman"/>
          <w:sz w:val="24"/>
        </w:rPr>
        <w:t>)</w:t>
      </w:r>
      <w:r>
        <w:rPr>
          <w:rFonts w:ascii="Times New Roman" w:hAnsi="Times New Roman"/>
          <w:sz w:val="24"/>
        </w:rPr>
        <w:tab/>
        <w:t>To explore the various tax situations, s</w:t>
      </w:r>
      <w:r w:rsidR="00C7484D">
        <w:rPr>
          <w:rFonts w:ascii="Times New Roman" w:hAnsi="Times New Roman"/>
          <w:sz w:val="24"/>
        </w:rPr>
        <w:t xml:space="preserve">ee </w:t>
      </w:r>
      <w:r w:rsidR="004373A7">
        <w:rPr>
          <w:rFonts w:ascii="Times New Roman" w:hAnsi="Times New Roman"/>
          <w:sz w:val="24"/>
        </w:rPr>
        <w:t>Example</w:t>
      </w:r>
      <w:r>
        <w:rPr>
          <w:rFonts w:ascii="Times New Roman" w:hAnsi="Times New Roman"/>
          <w:sz w:val="24"/>
        </w:rPr>
        <w:t>s</w:t>
      </w:r>
      <w:r w:rsidR="004373A7">
        <w:rPr>
          <w:rFonts w:ascii="Times New Roman" w:hAnsi="Times New Roman"/>
          <w:sz w:val="24"/>
        </w:rPr>
        <w:t xml:space="preserve"> </w:t>
      </w:r>
      <w:r>
        <w:rPr>
          <w:rFonts w:ascii="Times New Roman" w:hAnsi="Times New Roman"/>
          <w:sz w:val="24"/>
        </w:rPr>
        <w:t xml:space="preserve">5 </w:t>
      </w:r>
      <w:r w:rsidR="00555DDC">
        <w:rPr>
          <w:rFonts w:ascii="Times New Roman" w:hAnsi="Times New Roman"/>
          <w:sz w:val="24"/>
        </w:rPr>
        <w:t xml:space="preserve">and </w:t>
      </w:r>
      <w:r>
        <w:rPr>
          <w:rFonts w:ascii="Times New Roman" w:hAnsi="Times New Roman"/>
          <w:sz w:val="24"/>
        </w:rPr>
        <w:t>6</w:t>
      </w:r>
      <w:r w:rsidR="00555DDC">
        <w:rPr>
          <w:rFonts w:ascii="Times New Roman" w:hAnsi="Times New Roman"/>
          <w:sz w:val="24"/>
        </w:rPr>
        <w:t xml:space="preserve"> </w:t>
      </w:r>
      <w:r w:rsidR="00C7484D">
        <w:rPr>
          <w:rFonts w:ascii="Times New Roman" w:hAnsi="Times New Roman"/>
          <w:sz w:val="24"/>
        </w:rPr>
        <w:t>in the text.</w:t>
      </w:r>
    </w:p>
    <w:p w14:paraId="6E07AA3A" w14:textId="77777777" w:rsidR="000C4E01" w:rsidRPr="00785CA3" w:rsidRDefault="000C4E01" w:rsidP="008C0F15">
      <w:pPr>
        <w:pStyle w:val="subquestionpara"/>
        <w:tabs>
          <w:tab w:val="clear" w:pos="1152"/>
          <w:tab w:val="left" w:pos="1440"/>
        </w:tabs>
        <w:spacing w:line="240" w:lineRule="auto"/>
        <w:ind w:left="1440" w:firstLine="0"/>
        <w:rPr>
          <w:rFonts w:ascii="Times New Roman" w:hAnsi="Times New Roman"/>
          <w:sz w:val="24"/>
        </w:rPr>
      </w:pPr>
    </w:p>
    <w:p w14:paraId="25C14BB8" w14:textId="52FE6F24" w:rsidR="008268E5" w:rsidRPr="00785CA3" w:rsidRDefault="00795253" w:rsidP="00314DA2">
      <w:pPr>
        <w:pStyle w:val="subquestionpara"/>
        <w:numPr>
          <w:ilvl w:val="0"/>
          <w:numId w:val="43"/>
        </w:numPr>
        <w:tabs>
          <w:tab w:val="clear" w:pos="1152"/>
          <w:tab w:val="left" w:pos="1440"/>
        </w:tabs>
        <w:spacing w:line="240" w:lineRule="auto"/>
        <w:ind w:left="1440" w:hanging="720"/>
        <w:rPr>
          <w:rFonts w:ascii="Times New Roman" w:hAnsi="Times New Roman"/>
          <w:sz w:val="24"/>
        </w:rPr>
      </w:pPr>
      <w:r w:rsidRPr="00314DA2">
        <w:rPr>
          <w:i/>
          <w:sz w:val="24"/>
          <w:szCs w:val="24"/>
        </w:rPr>
        <w:t>Character of Business Income.</w:t>
      </w:r>
      <w:r w:rsidRPr="007012F8">
        <w:rPr>
          <w:rFonts w:ascii="Times New Roman" w:hAnsi="Times New Roman"/>
          <w:sz w:val="24"/>
          <w:szCs w:val="24"/>
        </w:rPr>
        <w:t xml:space="preserve"> </w:t>
      </w:r>
      <w:r w:rsidR="002932EF" w:rsidRPr="00795253">
        <w:rPr>
          <w:rFonts w:ascii="Times New Roman" w:hAnsi="Times New Roman"/>
          <w:sz w:val="24"/>
        </w:rPr>
        <w:t>With a C corporation</w:t>
      </w:r>
      <w:r w:rsidR="00C755D0">
        <w:rPr>
          <w:rFonts w:ascii="Times New Roman" w:hAnsi="Times New Roman"/>
          <w:sz w:val="24"/>
        </w:rPr>
        <w:t>,</w:t>
      </w:r>
      <w:r w:rsidRPr="00795253">
        <w:rPr>
          <w:rFonts w:ascii="Times New Roman" w:hAnsi="Times New Roman"/>
          <w:sz w:val="24"/>
        </w:rPr>
        <w:t xml:space="preserve"> </w:t>
      </w:r>
      <w:r w:rsidR="007012F8">
        <w:rPr>
          <w:rFonts w:ascii="Times New Roman" w:hAnsi="Times New Roman"/>
          <w:sz w:val="24"/>
        </w:rPr>
        <w:t>t</w:t>
      </w:r>
      <w:r w:rsidR="002932EF" w:rsidRPr="00785CA3">
        <w:rPr>
          <w:rFonts w:ascii="Times New Roman" w:hAnsi="Times New Roman"/>
          <w:sz w:val="24"/>
        </w:rPr>
        <w:t xml:space="preserve">ax attributes of the income and expense items do not pass through to the shareholders. As a result, if the business is expected to generate tax-favored income (e.g., tax-exempt income or long-term capital gains), </w:t>
      </w:r>
      <w:r>
        <w:rPr>
          <w:rFonts w:ascii="Times New Roman" w:hAnsi="Times New Roman"/>
          <w:sz w:val="24"/>
        </w:rPr>
        <w:t>it may be better to choose a different</w:t>
      </w:r>
      <w:r w:rsidR="002932EF" w:rsidRPr="00785CA3">
        <w:rPr>
          <w:rFonts w:ascii="Times New Roman" w:hAnsi="Times New Roman"/>
          <w:sz w:val="24"/>
        </w:rPr>
        <w:t xml:space="preserve"> </w:t>
      </w:r>
      <w:r>
        <w:rPr>
          <w:rFonts w:ascii="Times New Roman" w:hAnsi="Times New Roman"/>
          <w:sz w:val="24"/>
        </w:rPr>
        <w:t xml:space="preserve">business </w:t>
      </w:r>
      <w:r w:rsidR="002932EF" w:rsidRPr="00785CA3">
        <w:rPr>
          <w:rFonts w:ascii="Times New Roman" w:hAnsi="Times New Roman"/>
          <w:sz w:val="24"/>
        </w:rPr>
        <w:t>form.</w:t>
      </w:r>
    </w:p>
    <w:p w14:paraId="63A49061" w14:textId="77777777" w:rsidR="00D37A57" w:rsidRPr="00785CA3" w:rsidRDefault="00D37A57" w:rsidP="008C0F15">
      <w:pPr>
        <w:pStyle w:val="subquestionpara"/>
        <w:tabs>
          <w:tab w:val="clear" w:pos="1152"/>
          <w:tab w:val="left" w:pos="1440"/>
        </w:tabs>
        <w:spacing w:line="240" w:lineRule="auto"/>
        <w:ind w:left="1440" w:firstLine="0"/>
        <w:rPr>
          <w:rFonts w:ascii="Times New Roman" w:hAnsi="Times New Roman"/>
          <w:sz w:val="24"/>
        </w:rPr>
      </w:pPr>
    </w:p>
    <w:p w14:paraId="0382A398" w14:textId="282182FC" w:rsidR="00EB47D9" w:rsidRPr="00785CA3" w:rsidRDefault="00095AFA" w:rsidP="00314DA2">
      <w:pPr>
        <w:pStyle w:val="subquestionpara"/>
        <w:tabs>
          <w:tab w:val="clear" w:pos="1152"/>
        </w:tabs>
        <w:spacing w:line="240" w:lineRule="auto"/>
        <w:ind w:left="1440" w:hanging="720"/>
        <w:rPr>
          <w:rFonts w:ascii="Times New Roman" w:hAnsi="Times New Roman"/>
          <w:sz w:val="24"/>
        </w:rPr>
      </w:pPr>
      <w:r>
        <w:rPr>
          <w:rFonts w:ascii="Times New Roman" w:hAnsi="Times New Roman"/>
          <w:sz w:val="24"/>
        </w:rPr>
        <w:t>c.</w:t>
      </w:r>
      <w:r>
        <w:rPr>
          <w:rFonts w:ascii="Times New Roman" w:hAnsi="Times New Roman"/>
          <w:sz w:val="24"/>
        </w:rPr>
        <w:tab/>
      </w:r>
      <w:r w:rsidR="00C755D0">
        <w:rPr>
          <w:rFonts w:ascii="Times New Roman" w:hAnsi="Times New Roman"/>
          <w:i/>
          <w:sz w:val="24"/>
        </w:rPr>
        <w:t>Pass-Through of</w:t>
      </w:r>
      <w:r w:rsidR="00C755D0" w:rsidRPr="00314DA2">
        <w:rPr>
          <w:rFonts w:ascii="Times New Roman" w:hAnsi="Times New Roman"/>
          <w:i/>
          <w:sz w:val="24"/>
        </w:rPr>
        <w:t xml:space="preserve"> </w:t>
      </w:r>
      <w:r w:rsidRPr="00314DA2">
        <w:rPr>
          <w:rFonts w:ascii="Times New Roman" w:hAnsi="Times New Roman"/>
          <w:i/>
          <w:sz w:val="24"/>
        </w:rPr>
        <w:t>Losses.</w:t>
      </w:r>
      <w:r>
        <w:rPr>
          <w:rFonts w:ascii="Times New Roman" w:hAnsi="Times New Roman"/>
          <w:sz w:val="24"/>
        </w:rPr>
        <w:t xml:space="preserve"> </w:t>
      </w:r>
      <w:r w:rsidR="002932EF" w:rsidRPr="00785CA3">
        <w:rPr>
          <w:rFonts w:ascii="Times New Roman" w:hAnsi="Times New Roman"/>
          <w:sz w:val="24"/>
        </w:rPr>
        <w:t>Since C corporation losses have no effect on the taxable income of the shareholders, one of the non</w:t>
      </w:r>
      <w:r w:rsidR="006C1D7C">
        <w:rPr>
          <w:rFonts w:ascii="Times New Roman" w:hAnsi="Times New Roman"/>
          <w:sz w:val="24"/>
        </w:rPr>
        <w:t>-</w:t>
      </w:r>
      <w:r w:rsidR="002932EF" w:rsidRPr="00785CA3">
        <w:rPr>
          <w:rFonts w:ascii="Times New Roman" w:hAnsi="Times New Roman"/>
          <w:sz w:val="24"/>
        </w:rPr>
        <w:t>C</w:t>
      </w:r>
      <w:r w:rsidR="006C1D7C">
        <w:rPr>
          <w:rFonts w:ascii="Times New Roman" w:hAnsi="Times New Roman"/>
          <w:sz w:val="24"/>
        </w:rPr>
        <w:t xml:space="preserve"> </w:t>
      </w:r>
      <w:r w:rsidR="002932EF" w:rsidRPr="00785CA3">
        <w:rPr>
          <w:rFonts w:ascii="Times New Roman" w:hAnsi="Times New Roman"/>
          <w:sz w:val="24"/>
        </w:rPr>
        <w:t>corporation forms of business may be desirable if business losses are anticipated</w:t>
      </w:r>
      <w:r w:rsidR="00BE6018" w:rsidRPr="00785CA3">
        <w:rPr>
          <w:rFonts w:ascii="Times New Roman" w:hAnsi="Times New Roman"/>
          <w:sz w:val="24"/>
        </w:rPr>
        <w:t>.</w:t>
      </w:r>
      <w:r w:rsidR="004373A7">
        <w:rPr>
          <w:rFonts w:ascii="Times New Roman" w:hAnsi="Times New Roman"/>
          <w:sz w:val="24"/>
        </w:rPr>
        <w:t xml:space="preserve"> (</w:t>
      </w:r>
      <w:r w:rsidR="00C7484D">
        <w:rPr>
          <w:rFonts w:ascii="Times New Roman" w:hAnsi="Times New Roman"/>
          <w:sz w:val="24"/>
        </w:rPr>
        <w:t xml:space="preserve">See </w:t>
      </w:r>
      <w:r w:rsidR="004373A7">
        <w:rPr>
          <w:rFonts w:ascii="Times New Roman" w:hAnsi="Times New Roman"/>
          <w:sz w:val="24"/>
        </w:rPr>
        <w:t xml:space="preserve">Example </w:t>
      </w:r>
      <w:r w:rsidR="00555DDC">
        <w:rPr>
          <w:rFonts w:ascii="Times New Roman" w:hAnsi="Times New Roman"/>
          <w:sz w:val="24"/>
        </w:rPr>
        <w:t>7</w:t>
      </w:r>
      <w:r w:rsidR="00C7484D">
        <w:rPr>
          <w:rFonts w:ascii="Times New Roman" w:hAnsi="Times New Roman"/>
          <w:sz w:val="24"/>
        </w:rPr>
        <w:t xml:space="preserve"> in the text.</w:t>
      </w:r>
      <w:r w:rsidR="002932EF" w:rsidRPr="00785CA3">
        <w:rPr>
          <w:rFonts w:ascii="Times New Roman" w:hAnsi="Times New Roman"/>
          <w:sz w:val="24"/>
        </w:rPr>
        <w:t>)</w:t>
      </w:r>
    </w:p>
    <w:p w14:paraId="3B43C955" w14:textId="77777777" w:rsidR="00D37A57" w:rsidRPr="00785CA3" w:rsidRDefault="00D37A57" w:rsidP="008C0F15">
      <w:pPr>
        <w:pStyle w:val="subquestionpara"/>
        <w:tabs>
          <w:tab w:val="clear" w:pos="1152"/>
        </w:tabs>
        <w:spacing w:line="240" w:lineRule="auto"/>
        <w:ind w:left="1440" w:firstLine="0"/>
        <w:rPr>
          <w:rFonts w:ascii="Times New Roman" w:hAnsi="Times New Roman"/>
          <w:sz w:val="24"/>
        </w:rPr>
      </w:pPr>
    </w:p>
    <w:p w14:paraId="4EE6781E" w14:textId="365BE48A" w:rsidR="004E1001" w:rsidRPr="00785CA3" w:rsidRDefault="00095AFA" w:rsidP="00314DA2">
      <w:pPr>
        <w:pStyle w:val="subquestionpara"/>
        <w:tabs>
          <w:tab w:val="clear" w:pos="1152"/>
        </w:tabs>
        <w:spacing w:line="240" w:lineRule="auto"/>
        <w:ind w:left="1440" w:hanging="720"/>
        <w:rPr>
          <w:rFonts w:ascii="Times New Roman" w:hAnsi="Times New Roman"/>
          <w:sz w:val="24"/>
        </w:rPr>
      </w:pPr>
      <w:r>
        <w:rPr>
          <w:rFonts w:ascii="Times New Roman" w:hAnsi="Times New Roman"/>
          <w:sz w:val="24"/>
        </w:rPr>
        <w:t>d</w:t>
      </w:r>
      <w:r w:rsidR="00C17502">
        <w:rPr>
          <w:rFonts w:ascii="Times New Roman" w:hAnsi="Times New Roman"/>
          <w:sz w:val="24"/>
        </w:rPr>
        <w:t>.</w:t>
      </w:r>
      <w:r w:rsidR="00C17502">
        <w:rPr>
          <w:rFonts w:ascii="Times New Roman" w:hAnsi="Times New Roman"/>
          <w:sz w:val="24"/>
        </w:rPr>
        <w:tab/>
      </w:r>
      <w:r w:rsidRPr="00314DA2">
        <w:rPr>
          <w:rFonts w:ascii="Times New Roman" w:hAnsi="Times New Roman"/>
          <w:i/>
          <w:sz w:val="24"/>
        </w:rPr>
        <w:t>Employment Taxes.</w:t>
      </w:r>
      <w:r>
        <w:rPr>
          <w:rFonts w:ascii="Times New Roman" w:hAnsi="Times New Roman"/>
          <w:sz w:val="24"/>
        </w:rPr>
        <w:t xml:space="preserve"> </w:t>
      </w:r>
      <w:r w:rsidR="00D57DE8" w:rsidRPr="00785CA3">
        <w:rPr>
          <w:rFonts w:ascii="Times New Roman" w:hAnsi="Times New Roman"/>
          <w:sz w:val="24"/>
        </w:rPr>
        <w:t>The</w:t>
      </w:r>
      <w:r w:rsidR="00310904" w:rsidRPr="00785CA3">
        <w:rPr>
          <w:rFonts w:ascii="Times New Roman" w:hAnsi="Times New Roman"/>
          <w:sz w:val="24"/>
        </w:rPr>
        <w:t xml:space="preserve"> </w:t>
      </w:r>
      <w:r w:rsidRPr="00095AFA">
        <w:rPr>
          <w:rFonts w:ascii="Times New Roman" w:hAnsi="Times New Roman"/>
          <w:sz w:val="24"/>
        </w:rPr>
        <w:t>net income of a proprietorship is subject to</w:t>
      </w:r>
      <w:r w:rsidR="00310904" w:rsidRPr="00785CA3">
        <w:rPr>
          <w:rFonts w:ascii="Times New Roman" w:hAnsi="Times New Roman"/>
          <w:sz w:val="24"/>
        </w:rPr>
        <w:t xml:space="preserve"> the self-employment tax </w:t>
      </w:r>
      <w:r>
        <w:rPr>
          <w:rFonts w:ascii="Times New Roman" w:hAnsi="Times New Roman"/>
          <w:sz w:val="24"/>
        </w:rPr>
        <w:t xml:space="preserve">(15.3%), </w:t>
      </w:r>
      <w:r w:rsidRPr="00095AFA">
        <w:rPr>
          <w:rFonts w:ascii="Times New Roman" w:hAnsi="Times New Roman"/>
          <w:sz w:val="24"/>
        </w:rPr>
        <w:t>as are some partnership allocations of income to partners</w:t>
      </w:r>
      <w:r w:rsidR="00310904" w:rsidRPr="00785CA3">
        <w:rPr>
          <w:rFonts w:ascii="Times New Roman" w:hAnsi="Times New Roman"/>
          <w:sz w:val="24"/>
        </w:rPr>
        <w:t>.</w:t>
      </w:r>
    </w:p>
    <w:p w14:paraId="623A89EC" w14:textId="488B04FA" w:rsidR="00314DA2" w:rsidRDefault="00314DA2">
      <w:pPr>
        <w:rPr>
          <w:szCs w:val="20"/>
        </w:rPr>
      </w:pPr>
    </w:p>
    <w:p w14:paraId="23BC21B3" w14:textId="5EBF0BF4" w:rsidR="00095AFA" w:rsidRPr="00785CA3" w:rsidRDefault="00095AFA" w:rsidP="00314DA2">
      <w:pPr>
        <w:pStyle w:val="subquestionpara"/>
        <w:tabs>
          <w:tab w:val="clear" w:pos="1152"/>
          <w:tab w:val="left" w:pos="2160"/>
        </w:tabs>
        <w:spacing w:line="240" w:lineRule="auto"/>
        <w:ind w:left="2160" w:hanging="720"/>
        <w:rPr>
          <w:rFonts w:ascii="Times New Roman" w:hAnsi="Times New Roman"/>
          <w:sz w:val="24"/>
        </w:rPr>
      </w:pPr>
      <w:r>
        <w:rPr>
          <w:rFonts w:ascii="Times New Roman" w:hAnsi="Times New Roman"/>
          <w:sz w:val="24"/>
        </w:rPr>
        <w:t>(1)</w:t>
      </w:r>
      <w:r>
        <w:rPr>
          <w:rFonts w:ascii="Times New Roman" w:hAnsi="Times New Roman"/>
          <w:sz w:val="24"/>
        </w:rPr>
        <w:tab/>
      </w:r>
      <w:r w:rsidRPr="00785CA3">
        <w:rPr>
          <w:rFonts w:ascii="Times New Roman" w:hAnsi="Times New Roman"/>
          <w:sz w:val="24"/>
        </w:rPr>
        <w:t>Wages paid to a shareholder-employee of a C or S corporation are subject to payroll taxes.</w:t>
      </w:r>
    </w:p>
    <w:p w14:paraId="0F0EABBF" w14:textId="77777777" w:rsidR="00095AFA" w:rsidRDefault="00095AFA" w:rsidP="00314DA2">
      <w:pPr>
        <w:pStyle w:val="subquestionpara"/>
        <w:tabs>
          <w:tab w:val="clear" w:pos="1152"/>
        </w:tabs>
        <w:spacing w:line="240" w:lineRule="auto"/>
        <w:rPr>
          <w:rFonts w:ascii="Times New Roman" w:hAnsi="Times New Roman"/>
          <w:sz w:val="24"/>
        </w:rPr>
      </w:pPr>
    </w:p>
    <w:p w14:paraId="7A9B05B7" w14:textId="563CCB50" w:rsidR="00310904" w:rsidRPr="00785CA3" w:rsidRDefault="00095AFA" w:rsidP="00314DA2">
      <w:pPr>
        <w:pStyle w:val="subquestionpara"/>
        <w:tabs>
          <w:tab w:val="clear" w:pos="1152"/>
        </w:tabs>
        <w:spacing w:line="240" w:lineRule="auto"/>
        <w:ind w:left="2160" w:hanging="720"/>
        <w:rPr>
          <w:rFonts w:ascii="Times New Roman" w:hAnsi="Times New Roman"/>
          <w:sz w:val="24"/>
        </w:rPr>
      </w:pPr>
      <w:r>
        <w:rPr>
          <w:rFonts w:ascii="Times New Roman" w:hAnsi="Times New Roman"/>
          <w:sz w:val="24"/>
        </w:rPr>
        <w:t>(2)</w:t>
      </w:r>
      <w:r>
        <w:rPr>
          <w:rFonts w:ascii="Times New Roman" w:hAnsi="Times New Roman"/>
          <w:sz w:val="24"/>
        </w:rPr>
        <w:tab/>
        <w:t>A d</w:t>
      </w:r>
      <w:r w:rsidRPr="00785CA3">
        <w:rPr>
          <w:rFonts w:ascii="Times New Roman" w:hAnsi="Times New Roman"/>
          <w:sz w:val="24"/>
        </w:rPr>
        <w:t>eduction</w:t>
      </w:r>
      <w:r>
        <w:rPr>
          <w:rFonts w:ascii="Times New Roman" w:hAnsi="Times New Roman"/>
          <w:sz w:val="24"/>
        </w:rPr>
        <w:t xml:space="preserve"> is</w:t>
      </w:r>
      <w:r w:rsidRPr="00785CA3">
        <w:rPr>
          <w:rFonts w:ascii="Times New Roman" w:hAnsi="Times New Roman"/>
          <w:sz w:val="24"/>
        </w:rPr>
        <w:t xml:space="preserve"> </w:t>
      </w:r>
      <w:r w:rsidR="00427C96" w:rsidRPr="00785CA3">
        <w:rPr>
          <w:rFonts w:ascii="Times New Roman" w:hAnsi="Times New Roman"/>
          <w:sz w:val="24"/>
        </w:rPr>
        <w:t xml:space="preserve">available to </w:t>
      </w:r>
      <w:r>
        <w:rPr>
          <w:rFonts w:ascii="Times New Roman" w:hAnsi="Times New Roman"/>
          <w:sz w:val="24"/>
        </w:rPr>
        <w:t xml:space="preserve">an </w:t>
      </w:r>
      <w:r w:rsidR="00427C96" w:rsidRPr="00785CA3">
        <w:rPr>
          <w:rFonts w:ascii="Times New Roman" w:hAnsi="Times New Roman"/>
          <w:sz w:val="24"/>
        </w:rPr>
        <w:t>individual for part of self-employment taxes paid.</w:t>
      </w:r>
    </w:p>
    <w:p w14:paraId="65FDE7A8" w14:textId="77777777" w:rsidR="00D37A57" w:rsidRPr="00785CA3" w:rsidRDefault="00D37A57" w:rsidP="008C0F15">
      <w:pPr>
        <w:pStyle w:val="ListParagraph"/>
      </w:pPr>
    </w:p>
    <w:p w14:paraId="33B6D45A" w14:textId="77777777" w:rsidR="00723D23" w:rsidRDefault="00723D23">
      <w:pPr>
        <w:rPr>
          <w:szCs w:val="20"/>
        </w:rPr>
      </w:pPr>
      <w:r>
        <w:br w:type="page"/>
      </w:r>
    </w:p>
    <w:p w14:paraId="683DEBCD" w14:textId="48A66D2B" w:rsidR="00310904" w:rsidRDefault="00095AFA" w:rsidP="008C0F15">
      <w:pPr>
        <w:pStyle w:val="subquestionpara"/>
        <w:tabs>
          <w:tab w:val="clear" w:pos="1152"/>
        </w:tabs>
        <w:spacing w:line="240" w:lineRule="auto"/>
        <w:ind w:left="1440" w:hanging="720"/>
        <w:rPr>
          <w:rFonts w:ascii="Times New Roman" w:hAnsi="Times New Roman"/>
          <w:sz w:val="24"/>
        </w:rPr>
      </w:pPr>
      <w:r>
        <w:rPr>
          <w:rFonts w:ascii="Times New Roman" w:hAnsi="Times New Roman"/>
          <w:sz w:val="24"/>
        </w:rPr>
        <w:lastRenderedPageBreak/>
        <w:t>e</w:t>
      </w:r>
      <w:r w:rsidR="00B36965" w:rsidRPr="00785CA3">
        <w:rPr>
          <w:rFonts w:ascii="Times New Roman" w:hAnsi="Times New Roman"/>
          <w:sz w:val="24"/>
        </w:rPr>
        <w:t>.</w:t>
      </w:r>
      <w:r w:rsidR="00427C96" w:rsidRPr="00785CA3">
        <w:rPr>
          <w:rFonts w:ascii="Times New Roman" w:hAnsi="Times New Roman"/>
          <w:sz w:val="24"/>
        </w:rPr>
        <w:tab/>
      </w:r>
      <w:r w:rsidRPr="00314DA2">
        <w:rPr>
          <w:rFonts w:ascii="Times New Roman" w:hAnsi="Times New Roman"/>
          <w:i/>
          <w:sz w:val="24"/>
        </w:rPr>
        <w:t>State Taxes.</w:t>
      </w:r>
      <w:r>
        <w:rPr>
          <w:rFonts w:ascii="Times New Roman" w:hAnsi="Times New Roman"/>
          <w:sz w:val="24"/>
        </w:rPr>
        <w:t xml:space="preserve"> </w:t>
      </w:r>
      <w:r w:rsidR="00427C96" w:rsidRPr="00785CA3">
        <w:rPr>
          <w:rFonts w:ascii="Times New Roman" w:hAnsi="Times New Roman"/>
          <w:sz w:val="24"/>
        </w:rPr>
        <w:t>At the entity level:</w:t>
      </w:r>
    </w:p>
    <w:p w14:paraId="700568BE" w14:textId="77777777" w:rsidR="009710CA" w:rsidRPr="00785CA3" w:rsidRDefault="009710CA" w:rsidP="008C0F15">
      <w:pPr>
        <w:pStyle w:val="subquestionpara"/>
        <w:tabs>
          <w:tab w:val="clear" w:pos="1152"/>
        </w:tabs>
        <w:spacing w:line="240" w:lineRule="auto"/>
        <w:ind w:left="1440" w:hanging="720"/>
        <w:rPr>
          <w:rFonts w:ascii="Times New Roman" w:hAnsi="Times New Roman"/>
          <w:sz w:val="24"/>
        </w:rPr>
      </w:pPr>
    </w:p>
    <w:p w14:paraId="2A8C0FCF" w14:textId="1AC56477" w:rsidR="00427C96" w:rsidRPr="00785CA3" w:rsidRDefault="00095AFA" w:rsidP="00314DA2">
      <w:pPr>
        <w:pStyle w:val="subquestionpara"/>
        <w:tabs>
          <w:tab w:val="clear" w:pos="1152"/>
          <w:tab w:val="left" w:pos="2160"/>
        </w:tabs>
        <w:spacing w:line="240" w:lineRule="auto"/>
        <w:ind w:left="2160" w:hanging="720"/>
        <w:rPr>
          <w:rFonts w:ascii="Times New Roman" w:hAnsi="Times New Roman"/>
          <w:sz w:val="24"/>
        </w:rPr>
      </w:pPr>
      <w:r>
        <w:rPr>
          <w:rFonts w:ascii="Times New Roman" w:hAnsi="Times New Roman"/>
          <w:sz w:val="24"/>
        </w:rPr>
        <w:t>(1)</w:t>
      </w:r>
      <w:r>
        <w:rPr>
          <w:rFonts w:ascii="Times New Roman" w:hAnsi="Times New Roman"/>
          <w:sz w:val="24"/>
        </w:rPr>
        <w:tab/>
      </w:r>
      <w:r w:rsidR="00427C96" w:rsidRPr="00785CA3">
        <w:rPr>
          <w:rFonts w:ascii="Times New Roman" w:hAnsi="Times New Roman"/>
          <w:sz w:val="24"/>
        </w:rPr>
        <w:t>State corporate income taxes and/or franchise taxes are applicable to corporations</w:t>
      </w:r>
      <w:r w:rsidR="00380B1C" w:rsidRPr="00785CA3">
        <w:rPr>
          <w:rFonts w:ascii="Times New Roman" w:hAnsi="Times New Roman"/>
          <w:sz w:val="24"/>
        </w:rPr>
        <w:t>.</w:t>
      </w:r>
    </w:p>
    <w:p w14:paraId="075863DB" w14:textId="77777777" w:rsidR="00380B1C" w:rsidRPr="00785CA3" w:rsidRDefault="00380B1C" w:rsidP="008C0F15">
      <w:pPr>
        <w:pStyle w:val="subquestionpara"/>
        <w:tabs>
          <w:tab w:val="clear" w:pos="1152"/>
          <w:tab w:val="left" w:pos="2160"/>
        </w:tabs>
        <w:spacing w:line="240" w:lineRule="auto"/>
        <w:ind w:left="2160" w:firstLine="0"/>
        <w:rPr>
          <w:rFonts w:ascii="Times New Roman" w:hAnsi="Times New Roman"/>
          <w:sz w:val="24"/>
        </w:rPr>
      </w:pPr>
    </w:p>
    <w:p w14:paraId="019294F2" w14:textId="3096443F" w:rsidR="00380B1C" w:rsidRPr="00900D89" w:rsidRDefault="00095AFA" w:rsidP="00371EB5">
      <w:pPr>
        <w:pStyle w:val="subquestionpara"/>
        <w:tabs>
          <w:tab w:val="clear" w:pos="1152"/>
          <w:tab w:val="left" w:pos="2160"/>
        </w:tabs>
        <w:spacing w:line="240" w:lineRule="auto"/>
        <w:ind w:left="2160" w:hanging="720"/>
        <w:rPr>
          <w:rFonts w:ascii="Times New Roman" w:hAnsi="Times New Roman"/>
          <w:sz w:val="24"/>
        </w:rPr>
      </w:pPr>
      <w:r>
        <w:rPr>
          <w:rFonts w:ascii="Times New Roman" w:hAnsi="Times New Roman"/>
          <w:sz w:val="24"/>
        </w:rPr>
        <w:t>(2)</w:t>
      </w:r>
      <w:r>
        <w:rPr>
          <w:rFonts w:ascii="Times New Roman" w:hAnsi="Times New Roman"/>
          <w:sz w:val="24"/>
        </w:rPr>
        <w:tab/>
      </w:r>
      <w:r w:rsidRPr="00095AFA">
        <w:rPr>
          <w:rFonts w:ascii="Times New Roman" w:hAnsi="Times New Roman"/>
          <w:sz w:val="24"/>
        </w:rPr>
        <w:t>Some states impose a franchise tax on all business forms (including partnerships</w:t>
      </w:r>
      <w:r>
        <w:rPr>
          <w:rFonts w:ascii="Times New Roman" w:hAnsi="Times New Roman"/>
          <w:sz w:val="24"/>
        </w:rPr>
        <w:t xml:space="preserve"> </w:t>
      </w:r>
      <w:r w:rsidRPr="00095AFA">
        <w:rPr>
          <w:rFonts w:ascii="Times New Roman" w:hAnsi="Times New Roman"/>
          <w:sz w:val="24"/>
        </w:rPr>
        <w:t>and S corporations). If a business will be operating in multiple states, state taxes</w:t>
      </w:r>
      <w:r>
        <w:rPr>
          <w:rFonts w:ascii="Times New Roman" w:hAnsi="Times New Roman"/>
          <w:sz w:val="24"/>
        </w:rPr>
        <w:t xml:space="preserve"> </w:t>
      </w:r>
      <w:r w:rsidRPr="00095AFA">
        <w:rPr>
          <w:rFonts w:ascii="Times New Roman" w:hAnsi="Times New Roman"/>
          <w:sz w:val="24"/>
        </w:rPr>
        <w:t>become more important</w:t>
      </w:r>
      <w:r>
        <w:rPr>
          <w:rFonts w:ascii="Times New Roman" w:hAnsi="Times New Roman"/>
          <w:sz w:val="24"/>
        </w:rPr>
        <w:t>.</w:t>
      </w:r>
    </w:p>
    <w:p w14:paraId="1ED236F2" w14:textId="77777777" w:rsidR="00380B1C" w:rsidRPr="00785CA3" w:rsidRDefault="00380B1C" w:rsidP="00C755D0">
      <w:pPr>
        <w:pStyle w:val="subquestionpara"/>
        <w:tabs>
          <w:tab w:val="clear" w:pos="1152"/>
        </w:tabs>
        <w:spacing w:line="240" w:lineRule="auto"/>
        <w:ind w:left="2160" w:firstLine="0"/>
        <w:rPr>
          <w:rFonts w:ascii="Times New Roman" w:hAnsi="Times New Roman"/>
          <w:sz w:val="24"/>
        </w:rPr>
      </w:pPr>
    </w:p>
    <w:p w14:paraId="7B7F6E2F" w14:textId="0FC4F73C" w:rsidR="00B36965" w:rsidRPr="00785CA3" w:rsidRDefault="00095AFA" w:rsidP="00371EB5">
      <w:pPr>
        <w:pStyle w:val="subquestionpara"/>
        <w:spacing w:line="240" w:lineRule="auto"/>
        <w:ind w:left="2160" w:hanging="720"/>
        <w:rPr>
          <w:rFonts w:ascii="Times New Roman" w:hAnsi="Times New Roman"/>
          <w:sz w:val="24"/>
        </w:rPr>
      </w:pPr>
      <w:r>
        <w:rPr>
          <w:rFonts w:ascii="Times New Roman" w:hAnsi="Times New Roman"/>
          <w:sz w:val="24"/>
        </w:rPr>
        <w:t>(3)</w:t>
      </w:r>
      <w:r>
        <w:rPr>
          <w:rFonts w:ascii="Times New Roman" w:hAnsi="Times New Roman"/>
          <w:sz w:val="24"/>
        </w:rPr>
        <w:tab/>
      </w:r>
      <w:r w:rsidRPr="00095AFA">
        <w:rPr>
          <w:rFonts w:ascii="Times New Roman" w:hAnsi="Times New Roman"/>
          <w:sz w:val="24"/>
        </w:rPr>
        <w:t>At</w:t>
      </w:r>
      <w:r>
        <w:rPr>
          <w:rFonts w:ascii="Times New Roman" w:hAnsi="Times New Roman"/>
          <w:sz w:val="24"/>
        </w:rPr>
        <w:t xml:space="preserve"> </w:t>
      </w:r>
      <w:r w:rsidRPr="00095AFA">
        <w:rPr>
          <w:rFonts w:ascii="Times New Roman" w:hAnsi="Times New Roman"/>
          <w:sz w:val="24"/>
        </w:rPr>
        <w:t>the owner level, the income of sole proprietorships, S corporations, and partnerships (along</w:t>
      </w:r>
      <w:r>
        <w:rPr>
          <w:rFonts w:ascii="Times New Roman" w:hAnsi="Times New Roman"/>
          <w:sz w:val="24"/>
        </w:rPr>
        <w:t xml:space="preserve"> </w:t>
      </w:r>
      <w:r w:rsidRPr="00095AFA">
        <w:rPr>
          <w:rFonts w:ascii="Times New Roman" w:hAnsi="Times New Roman"/>
          <w:sz w:val="24"/>
        </w:rPr>
        <w:t>with dividend distributions) is subject to state individual income taxation.</w:t>
      </w:r>
    </w:p>
    <w:p w14:paraId="62B2F4B0" w14:textId="2EF1BB89" w:rsidR="00427C96" w:rsidRDefault="00427C96" w:rsidP="00C755D0">
      <w:pPr>
        <w:pStyle w:val="subquestionpara"/>
        <w:tabs>
          <w:tab w:val="clear" w:pos="1152"/>
          <w:tab w:val="left" w:pos="720"/>
          <w:tab w:val="left" w:pos="2160"/>
        </w:tabs>
        <w:spacing w:line="240" w:lineRule="auto"/>
        <w:ind w:left="2250" w:hanging="2250"/>
        <w:rPr>
          <w:rFonts w:ascii="Times New Roman" w:hAnsi="Times New Roman"/>
          <w:sz w:val="24"/>
        </w:rPr>
      </w:pPr>
    </w:p>
    <w:p w14:paraId="0AB43B2F" w14:textId="08F4CF26" w:rsidR="00095AFA" w:rsidRDefault="00095AFA" w:rsidP="00371EB5">
      <w:pPr>
        <w:pStyle w:val="subquestionpara"/>
        <w:tabs>
          <w:tab w:val="clear" w:pos="1152"/>
        </w:tabs>
        <w:spacing w:line="240" w:lineRule="auto"/>
        <w:ind w:left="1440" w:hanging="720"/>
        <w:rPr>
          <w:rFonts w:ascii="Times New Roman" w:hAnsi="Times New Roman"/>
          <w:sz w:val="24"/>
        </w:rPr>
      </w:pPr>
      <w:r>
        <w:rPr>
          <w:rFonts w:ascii="Times New Roman" w:hAnsi="Times New Roman"/>
          <w:sz w:val="24"/>
        </w:rPr>
        <w:t>f.</w:t>
      </w:r>
      <w:r>
        <w:rPr>
          <w:rFonts w:ascii="Times New Roman" w:hAnsi="Times New Roman"/>
          <w:sz w:val="24"/>
        </w:rPr>
        <w:tab/>
      </w:r>
      <w:r w:rsidRPr="00095AFA">
        <w:rPr>
          <w:rFonts w:ascii="Times New Roman" w:hAnsi="Times New Roman"/>
          <w:sz w:val="24"/>
        </w:rPr>
        <w:t>The tax attributes of the various forms of business entities are compared in Concept</w:t>
      </w:r>
      <w:r>
        <w:rPr>
          <w:rFonts w:ascii="Times New Roman" w:hAnsi="Times New Roman"/>
          <w:sz w:val="24"/>
        </w:rPr>
        <w:t xml:space="preserve"> </w:t>
      </w:r>
      <w:r w:rsidRPr="00095AFA">
        <w:rPr>
          <w:rFonts w:ascii="Times New Roman" w:hAnsi="Times New Roman"/>
          <w:sz w:val="24"/>
        </w:rPr>
        <w:t>Summary 2.1</w:t>
      </w:r>
      <w:r>
        <w:rPr>
          <w:rFonts w:ascii="Times New Roman" w:hAnsi="Times New Roman"/>
          <w:sz w:val="24"/>
        </w:rPr>
        <w:t xml:space="preserve"> in the text</w:t>
      </w:r>
      <w:r w:rsidRPr="00095AFA">
        <w:rPr>
          <w:rFonts w:ascii="Times New Roman" w:hAnsi="Times New Roman"/>
          <w:sz w:val="24"/>
        </w:rPr>
        <w:t>.</w:t>
      </w:r>
    </w:p>
    <w:p w14:paraId="3EB4354D" w14:textId="77777777" w:rsidR="00095AFA" w:rsidRPr="00785CA3" w:rsidRDefault="00095AFA" w:rsidP="00371EB5">
      <w:pPr>
        <w:pStyle w:val="subquestionpara"/>
        <w:tabs>
          <w:tab w:val="clear" w:pos="1152"/>
        </w:tabs>
        <w:spacing w:line="240" w:lineRule="auto"/>
        <w:ind w:left="1440" w:hanging="720"/>
        <w:rPr>
          <w:rFonts w:ascii="Times New Roman" w:hAnsi="Times New Roman"/>
          <w:sz w:val="24"/>
        </w:rPr>
      </w:pPr>
    </w:p>
    <w:p w14:paraId="581AE4F3" w14:textId="64A14F7F" w:rsidR="00CA74CF" w:rsidRPr="00314DA2" w:rsidRDefault="00E11DD6" w:rsidP="00C755D0">
      <w:pPr>
        <w:pStyle w:val="mainanswerparagraph"/>
        <w:spacing w:line="240" w:lineRule="auto"/>
        <w:jc w:val="left"/>
        <w:rPr>
          <w:sz w:val="24"/>
          <w:szCs w:val="24"/>
        </w:rPr>
      </w:pPr>
      <w:r w:rsidRPr="00373EB7">
        <w:rPr>
          <w:rFonts w:ascii="Times New Roman" w:hAnsi="Times New Roman"/>
          <w:sz w:val="24"/>
          <w:szCs w:val="24"/>
        </w:rPr>
        <w:t>1</w:t>
      </w:r>
      <w:r w:rsidR="00710FC0">
        <w:rPr>
          <w:rFonts w:ascii="Times New Roman" w:hAnsi="Times New Roman"/>
          <w:sz w:val="24"/>
          <w:szCs w:val="24"/>
        </w:rPr>
        <w:t>5</w:t>
      </w:r>
      <w:r w:rsidR="00775555" w:rsidRPr="00373EB7">
        <w:rPr>
          <w:rFonts w:ascii="Times New Roman" w:hAnsi="Times New Roman"/>
          <w:sz w:val="24"/>
          <w:szCs w:val="24"/>
        </w:rPr>
        <w:t>.</w:t>
      </w:r>
      <w:r w:rsidR="00775555" w:rsidRPr="00373EB7">
        <w:rPr>
          <w:rFonts w:ascii="Times New Roman" w:hAnsi="Times New Roman"/>
          <w:sz w:val="24"/>
          <w:szCs w:val="24"/>
        </w:rPr>
        <w:tab/>
      </w:r>
      <w:r w:rsidRPr="00C755D0">
        <w:rPr>
          <w:rFonts w:ascii="Times New Roman" w:hAnsi="Times New Roman"/>
          <w:sz w:val="24"/>
          <w:szCs w:val="24"/>
        </w:rPr>
        <w:t xml:space="preserve">Nontax </w:t>
      </w:r>
      <w:r w:rsidR="001E5BCB" w:rsidRPr="00C755D0">
        <w:rPr>
          <w:rFonts w:ascii="Times New Roman" w:hAnsi="Times New Roman"/>
          <w:sz w:val="24"/>
          <w:szCs w:val="24"/>
        </w:rPr>
        <w:t>C</w:t>
      </w:r>
      <w:r w:rsidRPr="00C755D0">
        <w:rPr>
          <w:rFonts w:ascii="Times New Roman" w:hAnsi="Times New Roman"/>
          <w:sz w:val="24"/>
          <w:szCs w:val="24"/>
        </w:rPr>
        <w:t>onsiderations</w:t>
      </w:r>
      <w:r w:rsidR="001E5BCB" w:rsidRPr="00C755D0">
        <w:rPr>
          <w:rFonts w:ascii="Times New Roman" w:hAnsi="Times New Roman"/>
          <w:sz w:val="24"/>
          <w:szCs w:val="24"/>
        </w:rPr>
        <w:t>.</w:t>
      </w:r>
      <w:r w:rsidR="00373EB7" w:rsidRPr="00C755D0">
        <w:rPr>
          <w:rFonts w:ascii="Times New Roman" w:hAnsi="Times New Roman"/>
          <w:sz w:val="24"/>
          <w:szCs w:val="24"/>
        </w:rPr>
        <w:t xml:space="preserve"> </w:t>
      </w:r>
      <w:r w:rsidR="00EB1FE9" w:rsidRPr="00371EB5">
        <w:rPr>
          <w:rFonts w:ascii="Times New Roman" w:hAnsi="Times New Roman"/>
          <w:sz w:val="24"/>
          <w:szCs w:val="24"/>
        </w:rPr>
        <w:t>Nontax considerations may override tax considerations.</w:t>
      </w:r>
      <w:r w:rsidRPr="00371EB5">
        <w:rPr>
          <w:rFonts w:ascii="Times New Roman" w:hAnsi="Times New Roman"/>
          <w:sz w:val="24"/>
          <w:szCs w:val="24"/>
        </w:rPr>
        <w:t xml:space="preserve"> Factors to consider include:</w:t>
      </w:r>
    </w:p>
    <w:p w14:paraId="6F496B06" w14:textId="51B31F22" w:rsidR="00581F0B" w:rsidRPr="00785CA3" w:rsidRDefault="00E11DD6" w:rsidP="00373EB7">
      <w:pPr>
        <w:pStyle w:val="Subpartsanswer"/>
        <w:numPr>
          <w:ilvl w:val="0"/>
          <w:numId w:val="2"/>
        </w:numPr>
        <w:tabs>
          <w:tab w:val="clear" w:pos="576"/>
          <w:tab w:val="clear" w:pos="648"/>
          <w:tab w:val="clear" w:pos="1296"/>
        </w:tabs>
        <w:spacing w:line="240" w:lineRule="auto"/>
        <w:ind w:left="1440" w:hanging="720"/>
        <w:jc w:val="left"/>
        <w:rPr>
          <w:rFonts w:ascii="Times New Roman" w:hAnsi="Times New Roman"/>
          <w:sz w:val="24"/>
        </w:rPr>
      </w:pPr>
      <w:r w:rsidRPr="00785CA3">
        <w:rPr>
          <w:rFonts w:ascii="Times New Roman" w:hAnsi="Times New Roman"/>
          <w:sz w:val="24"/>
        </w:rPr>
        <w:t>Limited liability for corporate shareholders. Unlimited</w:t>
      </w:r>
      <w:r w:rsidR="00775555" w:rsidRPr="00785CA3">
        <w:rPr>
          <w:rFonts w:ascii="Times New Roman" w:hAnsi="Times New Roman"/>
          <w:sz w:val="24"/>
        </w:rPr>
        <w:t xml:space="preserve"> liability</w:t>
      </w:r>
      <w:r w:rsidRPr="00785CA3">
        <w:rPr>
          <w:rFonts w:ascii="Times New Roman" w:hAnsi="Times New Roman"/>
          <w:sz w:val="24"/>
        </w:rPr>
        <w:t xml:space="preserve"> for sole proprietors and general partners in partnerships</w:t>
      </w:r>
      <w:r w:rsidR="00CA74CF" w:rsidRPr="00785CA3">
        <w:rPr>
          <w:rFonts w:ascii="Times New Roman" w:hAnsi="Times New Roman"/>
          <w:sz w:val="24"/>
        </w:rPr>
        <w:t>.</w:t>
      </w:r>
    </w:p>
    <w:p w14:paraId="6E9BC681" w14:textId="21A64C79" w:rsidR="00581F0B" w:rsidRPr="00785CA3" w:rsidRDefault="00D37A57" w:rsidP="00373EB7">
      <w:pPr>
        <w:pStyle w:val="subquestionpara"/>
        <w:numPr>
          <w:ilvl w:val="0"/>
          <w:numId w:val="2"/>
        </w:numPr>
        <w:tabs>
          <w:tab w:val="clear" w:pos="648"/>
          <w:tab w:val="clear" w:pos="1152"/>
        </w:tabs>
        <w:spacing w:line="240" w:lineRule="auto"/>
        <w:ind w:left="1440" w:hanging="720"/>
        <w:rPr>
          <w:rFonts w:ascii="Times New Roman" w:hAnsi="Times New Roman"/>
          <w:sz w:val="24"/>
        </w:rPr>
      </w:pPr>
      <w:r w:rsidRPr="00785CA3">
        <w:rPr>
          <w:rFonts w:ascii="Times New Roman" w:hAnsi="Times New Roman"/>
          <w:sz w:val="24"/>
        </w:rPr>
        <w:t xml:space="preserve">Ability </w:t>
      </w:r>
      <w:r w:rsidR="00775555" w:rsidRPr="00785CA3">
        <w:rPr>
          <w:rFonts w:ascii="Times New Roman" w:hAnsi="Times New Roman"/>
          <w:sz w:val="24"/>
        </w:rPr>
        <w:t>to raise large amounts of capital</w:t>
      </w:r>
      <w:r w:rsidR="00E11DD6" w:rsidRPr="00785CA3">
        <w:rPr>
          <w:rFonts w:ascii="Times New Roman" w:hAnsi="Times New Roman"/>
          <w:sz w:val="24"/>
        </w:rPr>
        <w:t xml:space="preserve"> using the corporate form</w:t>
      </w:r>
      <w:r w:rsidR="00CA74CF" w:rsidRPr="00785CA3">
        <w:rPr>
          <w:rFonts w:ascii="Times New Roman" w:hAnsi="Times New Roman"/>
          <w:sz w:val="24"/>
        </w:rPr>
        <w:t>.</w:t>
      </w:r>
    </w:p>
    <w:p w14:paraId="531FD4FF" w14:textId="77777777" w:rsidR="00581F0B" w:rsidRPr="00785CA3" w:rsidRDefault="00CA74CF" w:rsidP="00373EB7">
      <w:pPr>
        <w:pStyle w:val="Subpartsanswer"/>
        <w:numPr>
          <w:ilvl w:val="0"/>
          <w:numId w:val="2"/>
        </w:numPr>
        <w:tabs>
          <w:tab w:val="clear" w:pos="576"/>
          <w:tab w:val="clear" w:pos="648"/>
          <w:tab w:val="clear" w:pos="1296"/>
        </w:tabs>
        <w:spacing w:line="240" w:lineRule="auto"/>
        <w:ind w:left="1440" w:hanging="720"/>
        <w:jc w:val="left"/>
        <w:rPr>
          <w:rFonts w:ascii="Times New Roman" w:hAnsi="Times New Roman"/>
          <w:sz w:val="24"/>
        </w:rPr>
      </w:pPr>
      <w:r w:rsidRPr="00785CA3">
        <w:rPr>
          <w:rFonts w:ascii="Times New Roman" w:hAnsi="Times New Roman"/>
          <w:sz w:val="24"/>
        </w:rPr>
        <w:t>F</w:t>
      </w:r>
      <w:r w:rsidR="00651552" w:rsidRPr="00785CA3">
        <w:rPr>
          <w:rFonts w:ascii="Times New Roman" w:hAnsi="Times New Roman"/>
          <w:sz w:val="24"/>
        </w:rPr>
        <w:t>ree transferability of ownership interests</w:t>
      </w:r>
      <w:r w:rsidR="00E11DD6" w:rsidRPr="00785CA3">
        <w:rPr>
          <w:rFonts w:ascii="Times New Roman" w:hAnsi="Times New Roman"/>
          <w:sz w:val="24"/>
        </w:rPr>
        <w:t xml:space="preserve"> in corporation</w:t>
      </w:r>
      <w:r w:rsidR="004D504D" w:rsidRPr="00785CA3">
        <w:rPr>
          <w:rFonts w:ascii="Times New Roman" w:hAnsi="Times New Roman"/>
          <w:sz w:val="24"/>
        </w:rPr>
        <w:t>.</w:t>
      </w:r>
    </w:p>
    <w:p w14:paraId="073B0D36" w14:textId="49E40DBC" w:rsidR="00775555" w:rsidRPr="00785CA3" w:rsidRDefault="00E11DD6" w:rsidP="00373EB7">
      <w:pPr>
        <w:pStyle w:val="subquestionpara"/>
        <w:numPr>
          <w:ilvl w:val="0"/>
          <w:numId w:val="2"/>
        </w:numPr>
        <w:tabs>
          <w:tab w:val="clear" w:pos="648"/>
          <w:tab w:val="clear" w:pos="1152"/>
        </w:tabs>
        <w:spacing w:line="240" w:lineRule="auto"/>
        <w:ind w:left="1440" w:hanging="720"/>
        <w:rPr>
          <w:rFonts w:ascii="Times New Roman" w:hAnsi="Times New Roman"/>
          <w:sz w:val="24"/>
        </w:rPr>
      </w:pPr>
      <w:r w:rsidRPr="00785CA3">
        <w:rPr>
          <w:rFonts w:ascii="Times New Roman" w:hAnsi="Times New Roman"/>
          <w:sz w:val="24"/>
        </w:rPr>
        <w:t>Continuity of life for the corporate form of business</w:t>
      </w:r>
      <w:r w:rsidR="00775555" w:rsidRPr="00785CA3">
        <w:rPr>
          <w:rFonts w:ascii="Times New Roman" w:hAnsi="Times New Roman"/>
          <w:sz w:val="24"/>
        </w:rPr>
        <w:t>.</w:t>
      </w:r>
    </w:p>
    <w:p w14:paraId="7F768A89" w14:textId="2611218B" w:rsidR="00E11DD6" w:rsidRPr="00785CA3" w:rsidRDefault="00E11DD6" w:rsidP="00373EB7">
      <w:pPr>
        <w:pStyle w:val="subquestionpara"/>
        <w:numPr>
          <w:ilvl w:val="0"/>
          <w:numId w:val="2"/>
        </w:numPr>
        <w:tabs>
          <w:tab w:val="clear" w:pos="648"/>
          <w:tab w:val="clear" w:pos="1152"/>
        </w:tabs>
        <w:spacing w:line="240" w:lineRule="auto"/>
        <w:ind w:left="1440" w:hanging="720"/>
        <w:rPr>
          <w:rFonts w:ascii="Times New Roman" w:hAnsi="Times New Roman"/>
          <w:sz w:val="24"/>
        </w:rPr>
      </w:pPr>
      <w:r w:rsidRPr="00785CA3">
        <w:rPr>
          <w:rFonts w:ascii="Times New Roman" w:hAnsi="Times New Roman"/>
          <w:sz w:val="24"/>
        </w:rPr>
        <w:t>Centralized management of a corporation. Limited partnerships may also have centralized management</w:t>
      </w:r>
      <w:r w:rsidR="00380B1C" w:rsidRPr="00785CA3">
        <w:rPr>
          <w:rFonts w:ascii="Times New Roman" w:hAnsi="Times New Roman"/>
          <w:sz w:val="24"/>
        </w:rPr>
        <w:t>, which</w:t>
      </w:r>
      <w:r w:rsidRPr="00785CA3">
        <w:rPr>
          <w:rFonts w:ascii="Times New Roman" w:hAnsi="Times New Roman"/>
          <w:sz w:val="24"/>
        </w:rPr>
        <w:t xml:space="preserve"> is essential for the smooth operation of a widely held business.</w:t>
      </w:r>
    </w:p>
    <w:p w14:paraId="061B8183" w14:textId="77777777" w:rsidR="00775555" w:rsidRPr="00785CA3" w:rsidRDefault="00775555" w:rsidP="00D24E7B">
      <w:pPr>
        <w:pStyle w:val="mainanswerparagraph"/>
        <w:tabs>
          <w:tab w:val="clear" w:pos="720"/>
        </w:tabs>
        <w:spacing w:line="240" w:lineRule="auto"/>
        <w:ind w:left="0" w:firstLine="0"/>
        <w:jc w:val="left"/>
        <w:rPr>
          <w:b/>
        </w:rPr>
      </w:pPr>
    </w:p>
    <w:p w14:paraId="68443F1A" w14:textId="77777777" w:rsidR="00F81151" w:rsidRPr="00785CA3" w:rsidRDefault="00F81151" w:rsidP="008C0F15">
      <w:pPr>
        <w:rPr>
          <w:b/>
        </w:rPr>
      </w:pPr>
      <w:r w:rsidRPr="00785CA3">
        <w:rPr>
          <w:b/>
        </w:rPr>
        <w:t>Limited Liability Companies</w:t>
      </w:r>
    </w:p>
    <w:p w14:paraId="1D35B159" w14:textId="77777777" w:rsidR="00142348" w:rsidRPr="00785CA3" w:rsidRDefault="00142348" w:rsidP="008C0F15"/>
    <w:p w14:paraId="2FE16233" w14:textId="2BFFFEB1" w:rsidR="0014116C" w:rsidRPr="00785CA3" w:rsidRDefault="003E2620" w:rsidP="008C0F15">
      <w:pPr>
        <w:ind w:left="720" w:hanging="720"/>
      </w:pPr>
      <w:r w:rsidRPr="00785CA3">
        <w:t>1</w:t>
      </w:r>
      <w:r w:rsidR="00710FC0">
        <w:t>6</w:t>
      </w:r>
      <w:r w:rsidR="0014116C" w:rsidRPr="00785CA3">
        <w:t>.</w:t>
      </w:r>
      <w:r w:rsidR="0014116C" w:rsidRPr="00785CA3">
        <w:tab/>
      </w:r>
      <w:r w:rsidR="00A9084C" w:rsidRPr="00785CA3">
        <w:t>A l</w:t>
      </w:r>
      <w:r w:rsidR="0014116C" w:rsidRPr="00785CA3">
        <w:t xml:space="preserve">imited liability company (LLC) offers a very important nontax advantage (limited liability) plus the tax advantage of being treated as a partnership </w:t>
      </w:r>
      <w:r w:rsidR="00073E65" w:rsidRPr="00785CA3">
        <w:t xml:space="preserve">(or proprietorship, in the case of a single-member LLC) </w:t>
      </w:r>
      <w:r w:rsidR="0014116C" w:rsidRPr="00785CA3">
        <w:t>and avoiding the double taxation problem associated with C</w:t>
      </w:r>
      <w:r w:rsidR="008D19D4">
        <w:t> </w:t>
      </w:r>
      <w:r w:rsidR="0014116C" w:rsidRPr="00785CA3">
        <w:t>corporations.</w:t>
      </w:r>
    </w:p>
    <w:p w14:paraId="74810136" w14:textId="77777777" w:rsidR="00651552" w:rsidRPr="00785CA3" w:rsidRDefault="00651552" w:rsidP="008C0F15">
      <w:pPr>
        <w:ind w:left="720" w:hanging="720"/>
      </w:pPr>
    </w:p>
    <w:p w14:paraId="141867C9" w14:textId="45B01147" w:rsidR="004A3689" w:rsidRPr="00785CA3" w:rsidRDefault="004A3689" w:rsidP="00C755D0">
      <w:pPr>
        <w:pStyle w:val="Subpartsanswer"/>
        <w:numPr>
          <w:ilvl w:val="0"/>
          <w:numId w:val="28"/>
        </w:numPr>
        <w:tabs>
          <w:tab w:val="clear" w:pos="576"/>
          <w:tab w:val="clear" w:pos="1296"/>
        </w:tabs>
        <w:spacing w:line="240" w:lineRule="auto"/>
        <w:ind w:left="1440" w:hanging="720"/>
        <w:jc w:val="left"/>
        <w:rPr>
          <w:rFonts w:ascii="Times New Roman" w:hAnsi="Times New Roman"/>
          <w:sz w:val="24"/>
        </w:rPr>
      </w:pPr>
      <w:r w:rsidRPr="00785CA3">
        <w:rPr>
          <w:rFonts w:ascii="Times New Roman" w:hAnsi="Times New Roman"/>
          <w:sz w:val="24"/>
        </w:rPr>
        <w:t>All 50 states and the District of Columbia recognize LLCs.</w:t>
      </w:r>
    </w:p>
    <w:p w14:paraId="6A211A7A" w14:textId="77777777" w:rsidR="00E42138" w:rsidRPr="00785CA3" w:rsidRDefault="00E42138" w:rsidP="00C755D0">
      <w:pPr>
        <w:pStyle w:val="Subpartsanswer"/>
        <w:tabs>
          <w:tab w:val="clear" w:pos="1296"/>
          <w:tab w:val="left" w:pos="1440"/>
        </w:tabs>
        <w:spacing w:line="240" w:lineRule="auto"/>
        <w:ind w:left="1800" w:firstLine="0"/>
        <w:jc w:val="left"/>
        <w:rPr>
          <w:rFonts w:ascii="Times New Roman" w:hAnsi="Times New Roman"/>
          <w:sz w:val="24"/>
        </w:rPr>
      </w:pPr>
    </w:p>
    <w:p w14:paraId="7A1C36A6" w14:textId="4A6546EC" w:rsidR="00EE7A9B" w:rsidRPr="00314DA2" w:rsidRDefault="00EE7A9B" w:rsidP="00C755D0">
      <w:pPr>
        <w:pStyle w:val="subquestionpara"/>
        <w:numPr>
          <w:ilvl w:val="0"/>
          <w:numId w:val="28"/>
        </w:numPr>
        <w:tabs>
          <w:tab w:val="clear" w:pos="1152"/>
        </w:tabs>
        <w:spacing w:line="240" w:lineRule="auto"/>
        <w:ind w:left="1440" w:hanging="720"/>
      </w:pPr>
      <w:r w:rsidRPr="00785CA3">
        <w:rPr>
          <w:rFonts w:ascii="Times New Roman" w:hAnsi="Times New Roman"/>
          <w:sz w:val="24"/>
          <w:szCs w:val="24"/>
        </w:rPr>
        <w:t>LLC owners are called members</w:t>
      </w:r>
      <w:r w:rsidR="00D37A57" w:rsidRPr="00785CA3">
        <w:rPr>
          <w:rFonts w:ascii="Times New Roman" w:hAnsi="Times New Roman"/>
          <w:sz w:val="24"/>
          <w:szCs w:val="24"/>
        </w:rPr>
        <w:t>.</w:t>
      </w:r>
    </w:p>
    <w:p w14:paraId="2A5E983D" w14:textId="3538E58B" w:rsidR="00947999" w:rsidRDefault="00947999" w:rsidP="00ED1F3D">
      <w:pPr>
        <w:pStyle w:val="subquestionpara"/>
        <w:tabs>
          <w:tab w:val="clear" w:pos="1152"/>
        </w:tabs>
        <w:spacing w:line="240" w:lineRule="auto"/>
        <w:rPr>
          <w:rFonts w:ascii="Times New Roman" w:hAnsi="Times New Roman"/>
          <w:sz w:val="24"/>
          <w:szCs w:val="24"/>
        </w:rPr>
      </w:pPr>
    </w:p>
    <w:p w14:paraId="62CAD3DF" w14:textId="64A4B42E" w:rsidR="00947999" w:rsidRPr="00785CA3" w:rsidRDefault="00947999" w:rsidP="00371EB5">
      <w:pPr>
        <w:pStyle w:val="subquestionpara"/>
        <w:tabs>
          <w:tab w:val="clear" w:pos="1152"/>
        </w:tabs>
        <w:spacing w:line="240" w:lineRule="auto"/>
        <w:ind w:left="1440" w:hanging="720"/>
      </w:pPr>
      <w:r>
        <w:rPr>
          <w:rFonts w:ascii="Times New Roman" w:hAnsi="Times New Roman"/>
          <w:sz w:val="24"/>
          <w:szCs w:val="24"/>
        </w:rPr>
        <w:t>c.</w:t>
      </w:r>
      <w:r>
        <w:rPr>
          <w:rFonts w:ascii="Times New Roman" w:hAnsi="Times New Roman"/>
          <w:sz w:val="24"/>
          <w:szCs w:val="24"/>
        </w:rPr>
        <w:tab/>
      </w:r>
      <w:r w:rsidRPr="00947999">
        <w:rPr>
          <w:rFonts w:ascii="Times New Roman" w:hAnsi="Times New Roman"/>
          <w:sz w:val="24"/>
          <w:szCs w:val="24"/>
        </w:rPr>
        <w:t>The tax advantage of LLCs is that qualifying businesses may be treated as</w:t>
      </w:r>
      <w:r>
        <w:rPr>
          <w:rFonts w:ascii="Times New Roman" w:hAnsi="Times New Roman"/>
          <w:sz w:val="24"/>
          <w:szCs w:val="24"/>
        </w:rPr>
        <w:t xml:space="preserve"> </w:t>
      </w:r>
      <w:r w:rsidRPr="00947999">
        <w:rPr>
          <w:rFonts w:ascii="Times New Roman" w:hAnsi="Times New Roman"/>
          <w:sz w:val="24"/>
          <w:szCs w:val="24"/>
        </w:rPr>
        <w:t>proprietorships or partnerships for tax purposes, thereby avoiding the problem of double</w:t>
      </w:r>
      <w:r>
        <w:rPr>
          <w:rFonts w:ascii="Times New Roman" w:hAnsi="Times New Roman"/>
          <w:sz w:val="24"/>
          <w:szCs w:val="24"/>
        </w:rPr>
        <w:t xml:space="preserve"> </w:t>
      </w:r>
      <w:r w:rsidRPr="00947999">
        <w:rPr>
          <w:rFonts w:ascii="Times New Roman" w:hAnsi="Times New Roman"/>
          <w:sz w:val="24"/>
          <w:szCs w:val="24"/>
        </w:rPr>
        <w:t>taxation associated with regular corporations.</w:t>
      </w:r>
    </w:p>
    <w:p w14:paraId="58AF154D" w14:textId="77777777" w:rsidR="00947999" w:rsidRDefault="00947999" w:rsidP="008C0F15">
      <w:pPr>
        <w:ind w:left="720" w:hanging="720"/>
      </w:pPr>
    </w:p>
    <w:p w14:paraId="1324439C" w14:textId="77777777" w:rsidR="00A53557" w:rsidRDefault="00A53557">
      <w:r>
        <w:br w:type="page"/>
      </w:r>
    </w:p>
    <w:p w14:paraId="18CD22AD" w14:textId="7A0B00A2" w:rsidR="001A0D0E" w:rsidRPr="00785CA3" w:rsidRDefault="00EE7A9B" w:rsidP="00314DA2">
      <w:pPr>
        <w:ind w:left="720" w:hanging="720"/>
      </w:pPr>
      <w:r w:rsidRPr="008A08F7">
        <w:lastRenderedPageBreak/>
        <w:t>1</w:t>
      </w:r>
      <w:r w:rsidR="00894621">
        <w:t>7</w:t>
      </w:r>
      <w:r w:rsidRPr="008A08F7">
        <w:t>.</w:t>
      </w:r>
      <w:r w:rsidRPr="008A08F7">
        <w:tab/>
      </w:r>
      <w:r w:rsidR="00F33267" w:rsidRPr="008A08F7">
        <w:t>Entity Classification</w:t>
      </w:r>
      <w:r w:rsidR="001E5BCB" w:rsidRPr="00785CA3">
        <w:t>.</w:t>
      </w:r>
      <w:r w:rsidR="00947999">
        <w:t xml:space="preserve"> </w:t>
      </w:r>
      <w:r w:rsidRPr="00785CA3">
        <w:t xml:space="preserve">The IRS eased the entity classification problem by issuing </w:t>
      </w:r>
      <w:r w:rsidR="00CA2796">
        <w:t>C</w:t>
      </w:r>
      <w:r w:rsidRPr="00785CA3">
        <w:t>heck-the-box Regulations.</w:t>
      </w:r>
    </w:p>
    <w:p w14:paraId="10B81873" w14:textId="77777777" w:rsidR="001A0D0E" w:rsidRPr="00785CA3" w:rsidRDefault="001A0D0E" w:rsidP="008C0F15">
      <w:r w:rsidRPr="00785CA3">
        <w:tab/>
      </w:r>
    </w:p>
    <w:p w14:paraId="5796A716" w14:textId="78C558AD" w:rsidR="00D540FC" w:rsidRDefault="00D540FC" w:rsidP="00D24E7B">
      <w:pPr>
        <w:pStyle w:val="ListParagraph"/>
        <w:numPr>
          <w:ilvl w:val="0"/>
          <w:numId w:val="8"/>
        </w:numPr>
        <w:tabs>
          <w:tab w:val="left" w:pos="720"/>
        </w:tabs>
      </w:pPr>
      <w:r w:rsidRPr="00785CA3">
        <w:rPr>
          <w:szCs w:val="20"/>
        </w:rPr>
        <w:t>Regulations</w:t>
      </w:r>
      <w:r w:rsidR="00EE7A9B" w:rsidRPr="00785CA3">
        <w:t xml:space="preserve"> enable taxpayers to choose the tax status of a business entity withou</w:t>
      </w:r>
      <w:r w:rsidRPr="00785CA3">
        <w:t>t</w:t>
      </w:r>
      <w:r w:rsidR="00EE7A9B" w:rsidRPr="00785CA3">
        <w:t xml:space="preserve"> </w:t>
      </w:r>
      <w:r w:rsidR="00EE7A9B" w:rsidRPr="00785CA3">
        <w:rPr>
          <w:szCs w:val="20"/>
        </w:rPr>
        <w:t>regard</w:t>
      </w:r>
      <w:r w:rsidR="00EE7A9B" w:rsidRPr="00785CA3">
        <w:t xml:space="preserve"> to its corporate or noncorporate </w:t>
      </w:r>
      <w:r w:rsidRPr="00785CA3">
        <w:t>characteristics.</w:t>
      </w:r>
    </w:p>
    <w:p w14:paraId="3BA6CDF8" w14:textId="77777777" w:rsidR="00191722" w:rsidRPr="00785CA3" w:rsidRDefault="00191722" w:rsidP="00C529B0">
      <w:pPr>
        <w:pStyle w:val="ListParagraph"/>
        <w:tabs>
          <w:tab w:val="left" w:pos="720"/>
        </w:tabs>
        <w:ind w:left="1440"/>
      </w:pPr>
    </w:p>
    <w:p w14:paraId="4994E8BC" w14:textId="0E9DBC1F" w:rsidR="00D540FC" w:rsidRPr="00785CA3" w:rsidRDefault="001A0D0E" w:rsidP="00525CFA">
      <w:pPr>
        <w:pStyle w:val="mainanswerparagraph"/>
        <w:numPr>
          <w:ilvl w:val="0"/>
          <w:numId w:val="8"/>
        </w:numPr>
        <w:tabs>
          <w:tab w:val="clear" w:pos="720"/>
        </w:tabs>
        <w:spacing w:line="240" w:lineRule="auto"/>
        <w:jc w:val="left"/>
        <w:rPr>
          <w:rFonts w:ascii="Times New Roman" w:hAnsi="Times New Roman"/>
          <w:sz w:val="24"/>
        </w:rPr>
      </w:pPr>
      <w:r w:rsidRPr="00785CA3">
        <w:rPr>
          <w:rFonts w:ascii="Times New Roman" w:hAnsi="Times New Roman"/>
          <w:sz w:val="24"/>
        </w:rPr>
        <w:t>Under the</w:t>
      </w:r>
      <w:r w:rsidR="006411F8" w:rsidRPr="00785CA3">
        <w:rPr>
          <w:rFonts w:ascii="Times New Roman" w:hAnsi="Times New Roman"/>
          <w:sz w:val="24"/>
        </w:rPr>
        <w:t xml:space="preserve">se </w:t>
      </w:r>
      <w:r w:rsidR="00191722">
        <w:rPr>
          <w:rFonts w:ascii="Times New Roman" w:hAnsi="Times New Roman"/>
          <w:sz w:val="24"/>
        </w:rPr>
        <w:t>R</w:t>
      </w:r>
      <w:r w:rsidRPr="00785CA3">
        <w:rPr>
          <w:rFonts w:ascii="Times New Roman" w:hAnsi="Times New Roman"/>
          <w:sz w:val="24"/>
        </w:rPr>
        <w:t xml:space="preserve">egulations, </w:t>
      </w:r>
      <w:r w:rsidR="00D37A57" w:rsidRPr="00785CA3">
        <w:rPr>
          <w:rFonts w:ascii="Times New Roman" w:hAnsi="Times New Roman"/>
          <w:sz w:val="24"/>
        </w:rPr>
        <w:t xml:space="preserve">an </w:t>
      </w:r>
      <w:r w:rsidR="00F13D5E" w:rsidRPr="00785CA3">
        <w:rPr>
          <w:rFonts w:ascii="Times New Roman" w:hAnsi="Times New Roman"/>
          <w:sz w:val="24"/>
        </w:rPr>
        <w:t xml:space="preserve">unincorporated </w:t>
      </w:r>
      <w:r w:rsidR="00D37A57" w:rsidRPr="00785CA3">
        <w:rPr>
          <w:rFonts w:ascii="Times New Roman" w:hAnsi="Times New Roman"/>
          <w:sz w:val="24"/>
        </w:rPr>
        <w:t xml:space="preserve">entity </w:t>
      </w:r>
      <w:r w:rsidR="006411F8" w:rsidRPr="00785CA3">
        <w:rPr>
          <w:rFonts w:ascii="Times New Roman" w:hAnsi="Times New Roman"/>
          <w:sz w:val="24"/>
        </w:rPr>
        <w:t xml:space="preserve">with </w:t>
      </w:r>
      <w:r w:rsidR="00D540FC" w:rsidRPr="00785CA3">
        <w:rPr>
          <w:rFonts w:ascii="Times New Roman" w:hAnsi="Times New Roman"/>
          <w:sz w:val="24"/>
        </w:rPr>
        <w:t>more than one</w:t>
      </w:r>
      <w:r w:rsidRPr="00785CA3">
        <w:rPr>
          <w:rFonts w:ascii="Times New Roman" w:hAnsi="Times New Roman"/>
          <w:sz w:val="24"/>
        </w:rPr>
        <w:t xml:space="preserve"> </w:t>
      </w:r>
      <w:r w:rsidR="00293D4F" w:rsidRPr="00785CA3">
        <w:rPr>
          <w:rFonts w:ascii="Times New Roman" w:hAnsi="Times New Roman"/>
          <w:sz w:val="24"/>
        </w:rPr>
        <w:t>owner</w:t>
      </w:r>
      <w:r w:rsidR="00D540FC" w:rsidRPr="00785CA3">
        <w:rPr>
          <w:rFonts w:ascii="Times New Roman" w:hAnsi="Times New Roman"/>
          <w:sz w:val="24"/>
        </w:rPr>
        <w:t xml:space="preserve"> </w:t>
      </w:r>
      <w:r w:rsidR="00D37A57" w:rsidRPr="00785CA3">
        <w:rPr>
          <w:rFonts w:ascii="Times New Roman" w:hAnsi="Times New Roman"/>
          <w:sz w:val="24"/>
        </w:rPr>
        <w:t>is</w:t>
      </w:r>
      <w:r w:rsidR="00D540FC" w:rsidRPr="00785CA3">
        <w:rPr>
          <w:rFonts w:ascii="Times New Roman" w:hAnsi="Times New Roman"/>
          <w:sz w:val="24"/>
        </w:rPr>
        <w:t xml:space="preserve"> by default classified as a partnership.</w:t>
      </w:r>
    </w:p>
    <w:p w14:paraId="76006918" w14:textId="77777777" w:rsidR="00D37A57" w:rsidRPr="00785CA3" w:rsidRDefault="00D37A57" w:rsidP="008C0F15">
      <w:pPr>
        <w:pStyle w:val="ListParagraph"/>
        <w:ind w:left="1440" w:hanging="720"/>
      </w:pPr>
    </w:p>
    <w:p w14:paraId="70B14F42" w14:textId="708024DC" w:rsidR="00D540FC" w:rsidRPr="00785CA3" w:rsidRDefault="00D540FC" w:rsidP="00525CFA">
      <w:pPr>
        <w:pStyle w:val="ListParagraph"/>
        <w:numPr>
          <w:ilvl w:val="0"/>
          <w:numId w:val="8"/>
        </w:numPr>
      </w:pPr>
      <w:r w:rsidRPr="00785CA3">
        <w:t>An unincorporated entity with only one owner is</w:t>
      </w:r>
      <w:r w:rsidR="001E5BCB" w:rsidRPr="00785CA3">
        <w:t>,</w:t>
      </w:r>
      <w:r w:rsidRPr="00785CA3">
        <w:t xml:space="preserve"> by default, classified as a disregarded entity (DRE) and treated as a sole proprietor</w:t>
      </w:r>
      <w:r w:rsidR="00555DDC">
        <w:t>ship</w:t>
      </w:r>
      <w:r w:rsidRPr="00785CA3">
        <w:t>.</w:t>
      </w:r>
    </w:p>
    <w:p w14:paraId="5D3A8472" w14:textId="77777777" w:rsidR="00D540FC" w:rsidRPr="00785CA3" w:rsidRDefault="00D540FC" w:rsidP="008C0F15">
      <w:pPr>
        <w:pStyle w:val="ListParagraph"/>
        <w:ind w:left="1440" w:hanging="720"/>
      </w:pPr>
    </w:p>
    <w:p w14:paraId="28F7F1CA" w14:textId="77777777" w:rsidR="00D540FC" w:rsidRDefault="00D540FC" w:rsidP="00525CFA">
      <w:pPr>
        <w:pStyle w:val="ListParagraph"/>
        <w:numPr>
          <w:ilvl w:val="0"/>
          <w:numId w:val="8"/>
        </w:numPr>
      </w:pPr>
      <w:r w:rsidRPr="00785CA3">
        <w:t>If an entity wants to use its default status, it simply files the appropriate tax return.</w:t>
      </w:r>
    </w:p>
    <w:p w14:paraId="1BCE1480" w14:textId="77777777" w:rsidR="006464FE" w:rsidRPr="00785CA3" w:rsidRDefault="006464FE" w:rsidP="008C0F15"/>
    <w:p w14:paraId="75A73359" w14:textId="2D4D21E6" w:rsidR="00F33267" w:rsidRPr="00785CA3" w:rsidRDefault="00073E65" w:rsidP="00525CFA">
      <w:pPr>
        <w:pStyle w:val="mainanswerparagraph"/>
        <w:numPr>
          <w:ilvl w:val="0"/>
          <w:numId w:val="8"/>
        </w:numPr>
        <w:tabs>
          <w:tab w:val="clear" w:pos="720"/>
        </w:tabs>
        <w:spacing w:line="240" w:lineRule="auto"/>
        <w:jc w:val="left"/>
        <w:rPr>
          <w:rFonts w:ascii="Times New Roman" w:hAnsi="Times New Roman"/>
          <w:sz w:val="24"/>
        </w:rPr>
      </w:pPr>
      <w:r w:rsidRPr="00785CA3">
        <w:rPr>
          <w:rFonts w:ascii="Times New Roman" w:hAnsi="Times New Roman"/>
          <w:sz w:val="24"/>
        </w:rPr>
        <w:t>Under the default rules, i</w:t>
      </w:r>
      <w:r w:rsidR="00293D4F" w:rsidRPr="00785CA3">
        <w:rPr>
          <w:rFonts w:ascii="Times New Roman" w:hAnsi="Times New Roman"/>
          <w:sz w:val="24"/>
        </w:rPr>
        <w:t>f no election is made</w:t>
      </w:r>
      <w:r w:rsidR="00717756" w:rsidRPr="00785CA3">
        <w:rPr>
          <w:rFonts w:ascii="Times New Roman" w:hAnsi="Times New Roman"/>
          <w:sz w:val="24"/>
        </w:rPr>
        <w:t>,</w:t>
      </w:r>
      <w:r w:rsidR="00293D4F" w:rsidRPr="00785CA3">
        <w:rPr>
          <w:rFonts w:ascii="Times New Roman" w:hAnsi="Times New Roman"/>
          <w:sz w:val="24"/>
        </w:rPr>
        <w:t xml:space="preserve"> </w:t>
      </w:r>
      <w:r w:rsidR="00C312DB" w:rsidRPr="00785CA3">
        <w:rPr>
          <w:rFonts w:ascii="Times New Roman" w:hAnsi="Times New Roman"/>
          <w:sz w:val="24"/>
        </w:rPr>
        <w:t>multi-owner entities are treated as partnerships and single</w:t>
      </w:r>
      <w:r w:rsidR="00472971" w:rsidRPr="00785CA3">
        <w:rPr>
          <w:rFonts w:ascii="Times New Roman" w:hAnsi="Times New Roman"/>
          <w:sz w:val="24"/>
        </w:rPr>
        <w:t>-</w:t>
      </w:r>
      <w:r w:rsidR="00C312DB" w:rsidRPr="00785CA3">
        <w:rPr>
          <w:rFonts w:ascii="Times New Roman" w:hAnsi="Times New Roman"/>
          <w:sz w:val="24"/>
        </w:rPr>
        <w:t>owner</w:t>
      </w:r>
      <w:r w:rsidR="00472971" w:rsidRPr="00785CA3">
        <w:rPr>
          <w:rFonts w:ascii="Times New Roman" w:hAnsi="Times New Roman"/>
          <w:sz w:val="24"/>
        </w:rPr>
        <w:t xml:space="preserve"> entities</w:t>
      </w:r>
      <w:r w:rsidR="00C312DB" w:rsidRPr="00785CA3">
        <w:rPr>
          <w:rFonts w:ascii="Times New Roman" w:hAnsi="Times New Roman"/>
          <w:sz w:val="24"/>
        </w:rPr>
        <w:t xml:space="preserve"> are sole proprietorships.</w:t>
      </w:r>
      <w:r w:rsidRPr="00785CA3">
        <w:rPr>
          <w:rFonts w:ascii="Times New Roman" w:hAnsi="Times New Roman"/>
          <w:sz w:val="24"/>
        </w:rPr>
        <w:t xml:space="preserve"> New entities using a default classification should not file Form 8332</w:t>
      </w:r>
      <w:r w:rsidR="00ED1F3D">
        <w:rPr>
          <w:rFonts w:ascii="Times New Roman" w:hAnsi="Times New Roman"/>
          <w:sz w:val="24"/>
        </w:rPr>
        <w:t xml:space="preserve"> </w:t>
      </w:r>
      <w:r w:rsidR="00ED1F3D" w:rsidRPr="00785CA3">
        <w:rPr>
          <w:rFonts w:ascii="Times New Roman" w:hAnsi="Times New Roman"/>
          <w:sz w:val="24"/>
        </w:rPr>
        <w:t>(Entity Classification Election)</w:t>
      </w:r>
      <w:r w:rsidRPr="00785CA3">
        <w:rPr>
          <w:rFonts w:ascii="Times New Roman" w:hAnsi="Times New Roman"/>
          <w:sz w:val="24"/>
        </w:rPr>
        <w:t>.</w:t>
      </w:r>
    </w:p>
    <w:p w14:paraId="52D91DCD" w14:textId="77777777" w:rsidR="00533B8A" w:rsidRPr="00785CA3" w:rsidRDefault="00533B8A" w:rsidP="008C0F15">
      <w:pPr>
        <w:pStyle w:val="mainanswerparagraph"/>
        <w:tabs>
          <w:tab w:val="clear" w:pos="720"/>
        </w:tabs>
        <w:spacing w:line="240" w:lineRule="auto"/>
        <w:ind w:left="1440"/>
        <w:jc w:val="left"/>
        <w:rPr>
          <w:rFonts w:ascii="Times New Roman" w:hAnsi="Times New Roman"/>
          <w:sz w:val="24"/>
        </w:rPr>
      </w:pPr>
    </w:p>
    <w:p w14:paraId="7A898018" w14:textId="424C64EB" w:rsidR="00E42138" w:rsidRPr="00A42B69" w:rsidRDefault="00250D19" w:rsidP="00525CFA">
      <w:pPr>
        <w:pStyle w:val="mainanswerparagraph"/>
        <w:numPr>
          <w:ilvl w:val="0"/>
          <w:numId w:val="8"/>
        </w:numPr>
        <w:tabs>
          <w:tab w:val="clear" w:pos="720"/>
        </w:tabs>
        <w:spacing w:line="240" w:lineRule="auto"/>
        <w:jc w:val="left"/>
        <w:rPr>
          <w:rFonts w:ascii="Times New Roman" w:hAnsi="Times New Roman"/>
          <w:sz w:val="24"/>
        </w:rPr>
      </w:pPr>
      <w:r w:rsidRPr="00785CA3">
        <w:rPr>
          <w:rFonts w:ascii="Times New Roman" w:hAnsi="Times New Roman"/>
          <w:sz w:val="24"/>
        </w:rPr>
        <w:t xml:space="preserve">If the entity wants to use a status other than the default status, or if it wants to change its status, Form 8832 is used to “check the box” </w:t>
      </w:r>
      <w:r w:rsidR="001E5BCB" w:rsidRPr="00785CA3">
        <w:rPr>
          <w:rFonts w:ascii="Times New Roman" w:hAnsi="Times New Roman"/>
          <w:sz w:val="24"/>
        </w:rPr>
        <w:t>(</w:t>
      </w:r>
      <w:r w:rsidR="00B31088" w:rsidRPr="00785CA3">
        <w:rPr>
          <w:rFonts w:ascii="Times New Roman" w:hAnsi="Times New Roman"/>
          <w:sz w:val="24"/>
        </w:rPr>
        <w:t>Reg. §§</w:t>
      </w:r>
      <w:r w:rsidR="001E5BCB" w:rsidRPr="00785CA3">
        <w:rPr>
          <w:rFonts w:ascii="Times New Roman" w:hAnsi="Times New Roman"/>
          <w:sz w:val="24"/>
        </w:rPr>
        <w:t xml:space="preserve"> </w:t>
      </w:r>
      <w:r w:rsidR="00B31088" w:rsidRPr="00785CA3">
        <w:rPr>
          <w:rFonts w:ascii="Times New Roman" w:hAnsi="Times New Roman"/>
          <w:sz w:val="24"/>
        </w:rPr>
        <w:t>301.7701</w:t>
      </w:r>
      <w:r w:rsidR="007962C9">
        <w:rPr>
          <w:rFonts w:ascii="Times New Roman" w:hAnsi="Times New Roman"/>
          <w:sz w:val="24"/>
        </w:rPr>
        <w:t>–</w:t>
      </w:r>
      <w:r w:rsidR="00B31088" w:rsidRPr="00785CA3">
        <w:rPr>
          <w:rFonts w:ascii="Times New Roman" w:hAnsi="Times New Roman"/>
          <w:sz w:val="24"/>
        </w:rPr>
        <w:t>1</w:t>
      </w:r>
      <w:r w:rsidR="001E5BCB" w:rsidRPr="00785CA3">
        <w:rPr>
          <w:rFonts w:ascii="Times New Roman" w:hAnsi="Times New Roman"/>
          <w:sz w:val="24"/>
        </w:rPr>
        <w:t xml:space="preserve"> </w:t>
      </w:r>
      <w:r w:rsidR="00B31088" w:rsidRPr="00785CA3">
        <w:rPr>
          <w:rFonts w:ascii="Times New Roman" w:hAnsi="Times New Roman"/>
          <w:sz w:val="24"/>
        </w:rPr>
        <w:t xml:space="preserve">through </w:t>
      </w:r>
      <w:r w:rsidR="007962C9">
        <w:rPr>
          <w:rFonts w:ascii="Times New Roman" w:hAnsi="Times New Roman"/>
          <w:sz w:val="24"/>
        </w:rPr>
        <w:t>–</w:t>
      </w:r>
      <w:r w:rsidR="00B31088" w:rsidRPr="00785CA3">
        <w:rPr>
          <w:rFonts w:ascii="Times New Roman" w:hAnsi="Times New Roman"/>
          <w:sz w:val="24"/>
        </w:rPr>
        <w:t xml:space="preserve">4 and </w:t>
      </w:r>
      <w:r w:rsidR="007962C9">
        <w:rPr>
          <w:rFonts w:ascii="Times New Roman" w:hAnsi="Times New Roman"/>
          <w:sz w:val="24"/>
        </w:rPr>
        <w:t>–</w:t>
      </w:r>
      <w:r w:rsidR="00B31088" w:rsidRPr="00785CA3">
        <w:rPr>
          <w:rFonts w:ascii="Times New Roman" w:hAnsi="Times New Roman"/>
          <w:sz w:val="24"/>
        </w:rPr>
        <w:t>7)</w:t>
      </w:r>
      <w:r w:rsidR="007962C9">
        <w:rPr>
          <w:rFonts w:ascii="Times New Roman" w:hAnsi="Times New Roman"/>
          <w:sz w:val="24"/>
        </w:rPr>
        <w:t>.</w:t>
      </w:r>
    </w:p>
    <w:p w14:paraId="2A69C808" w14:textId="501B2A3E" w:rsidR="00250D19" w:rsidRPr="00785CA3" w:rsidRDefault="00250D19" w:rsidP="008C0F15">
      <w:pPr>
        <w:pStyle w:val="mainanswerparagraph"/>
        <w:tabs>
          <w:tab w:val="clear" w:pos="720"/>
        </w:tabs>
        <w:spacing w:line="240" w:lineRule="auto"/>
        <w:ind w:left="1440" w:firstLine="0"/>
        <w:jc w:val="left"/>
        <w:rPr>
          <w:rFonts w:ascii="Times New Roman" w:hAnsi="Times New Roman"/>
          <w:sz w:val="24"/>
        </w:rPr>
      </w:pPr>
    </w:p>
    <w:p w14:paraId="372BA78F" w14:textId="1F434324" w:rsidR="00C312DB" w:rsidRPr="00785CA3" w:rsidRDefault="00250D19" w:rsidP="00525CFA">
      <w:pPr>
        <w:pStyle w:val="subquestionpara"/>
        <w:numPr>
          <w:ilvl w:val="0"/>
          <w:numId w:val="29"/>
        </w:numPr>
        <w:tabs>
          <w:tab w:val="clear" w:pos="1152"/>
          <w:tab w:val="left" w:pos="1440"/>
        </w:tabs>
        <w:spacing w:line="240" w:lineRule="auto"/>
        <w:ind w:left="2160" w:hanging="720"/>
        <w:rPr>
          <w:rFonts w:ascii="Times New Roman" w:hAnsi="Times New Roman"/>
          <w:sz w:val="24"/>
        </w:rPr>
      </w:pPr>
      <w:r w:rsidRPr="00785CA3">
        <w:rPr>
          <w:rFonts w:ascii="Times New Roman" w:hAnsi="Times New Roman"/>
          <w:sz w:val="24"/>
        </w:rPr>
        <w:t>An LLC can therefore be taxed as a C corp</w:t>
      </w:r>
      <w:r w:rsidR="001E5BCB" w:rsidRPr="00785CA3">
        <w:rPr>
          <w:rFonts w:ascii="Times New Roman" w:hAnsi="Times New Roman"/>
          <w:sz w:val="24"/>
        </w:rPr>
        <w:t>oration</w:t>
      </w:r>
      <w:r w:rsidRPr="00785CA3">
        <w:rPr>
          <w:rFonts w:ascii="Times New Roman" w:hAnsi="Times New Roman"/>
          <w:sz w:val="24"/>
        </w:rPr>
        <w:t xml:space="preserve"> or S corp</w:t>
      </w:r>
      <w:r w:rsidR="001E5BCB" w:rsidRPr="00785CA3">
        <w:rPr>
          <w:rFonts w:ascii="Times New Roman" w:hAnsi="Times New Roman"/>
          <w:sz w:val="24"/>
        </w:rPr>
        <w:t>oration</w:t>
      </w:r>
      <w:r w:rsidRPr="00785CA3">
        <w:rPr>
          <w:rFonts w:ascii="Times New Roman" w:hAnsi="Times New Roman"/>
          <w:sz w:val="24"/>
        </w:rPr>
        <w:t>.</w:t>
      </w:r>
    </w:p>
    <w:p w14:paraId="24F17CC5" w14:textId="77777777" w:rsidR="00380B1C" w:rsidRPr="00785CA3" w:rsidRDefault="00380B1C" w:rsidP="008C0F15">
      <w:pPr>
        <w:pStyle w:val="subquestionpara"/>
        <w:tabs>
          <w:tab w:val="clear" w:pos="1152"/>
          <w:tab w:val="left" w:pos="1440"/>
        </w:tabs>
        <w:spacing w:line="240" w:lineRule="auto"/>
        <w:ind w:left="2160" w:hanging="720"/>
        <w:rPr>
          <w:rFonts w:ascii="Times New Roman" w:hAnsi="Times New Roman"/>
          <w:sz w:val="24"/>
        </w:rPr>
      </w:pPr>
    </w:p>
    <w:p w14:paraId="20C7EBD2" w14:textId="638B3855" w:rsidR="00250D19" w:rsidRPr="00785CA3" w:rsidRDefault="00250D19" w:rsidP="00525CFA">
      <w:pPr>
        <w:pStyle w:val="subquestionpara"/>
        <w:numPr>
          <w:ilvl w:val="0"/>
          <w:numId w:val="29"/>
        </w:numPr>
        <w:tabs>
          <w:tab w:val="clear" w:pos="1152"/>
          <w:tab w:val="left" w:pos="1440"/>
        </w:tabs>
        <w:spacing w:line="240" w:lineRule="auto"/>
        <w:ind w:left="2160" w:hanging="720"/>
        <w:rPr>
          <w:rFonts w:ascii="Times New Roman" w:hAnsi="Times New Roman"/>
          <w:sz w:val="24"/>
        </w:rPr>
      </w:pPr>
      <w:r w:rsidRPr="00785CA3">
        <w:rPr>
          <w:rFonts w:ascii="Times New Roman" w:hAnsi="Times New Roman"/>
          <w:sz w:val="24"/>
        </w:rPr>
        <w:t>Since LLCs are not treated as being incorporated under state law, they default to partnership or DRE status.</w:t>
      </w:r>
    </w:p>
    <w:p w14:paraId="6A64481D" w14:textId="5C0B893C" w:rsidR="00906D2B" w:rsidRDefault="00906D2B" w:rsidP="008C0F15">
      <w:pPr>
        <w:pStyle w:val="mainanswerparagraph"/>
        <w:tabs>
          <w:tab w:val="clear" w:pos="720"/>
        </w:tabs>
        <w:spacing w:line="240" w:lineRule="auto"/>
        <w:ind w:left="0" w:firstLine="0"/>
        <w:jc w:val="left"/>
        <w:rPr>
          <w:rFonts w:ascii="Times New Roman" w:hAnsi="Times New Roman"/>
          <w:b/>
          <w:sz w:val="24"/>
        </w:rPr>
      </w:pPr>
    </w:p>
    <w:p w14:paraId="419CA34E" w14:textId="3CED428F" w:rsidR="002934C9" w:rsidRDefault="00E76FAD" w:rsidP="008C0F15">
      <w:pPr>
        <w:pStyle w:val="mainanswerparagraph"/>
        <w:tabs>
          <w:tab w:val="clear" w:pos="720"/>
        </w:tabs>
        <w:spacing w:line="240" w:lineRule="auto"/>
        <w:ind w:left="0" w:firstLine="0"/>
        <w:jc w:val="left"/>
        <w:rPr>
          <w:rFonts w:ascii="Times New Roman" w:hAnsi="Times New Roman"/>
          <w:b/>
          <w:sz w:val="24"/>
        </w:rPr>
      </w:pPr>
      <w:r>
        <w:rPr>
          <w:rFonts w:ascii="Times New Roman" w:hAnsi="Times New Roman"/>
          <w:b/>
          <w:sz w:val="24"/>
        </w:rPr>
        <w:t>THE TAX CUTS AND JOBS ACT (TCJA) OF 2017 AND ENTITY TAX RATES</w:t>
      </w:r>
    </w:p>
    <w:p w14:paraId="751F35B9" w14:textId="694E92BF" w:rsidR="00E76FAD" w:rsidRDefault="00E76FAD" w:rsidP="008C0F15">
      <w:pPr>
        <w:pStyle w:val="mainanswerparagraph"/>
        <w:tabs>
          <w:tab w:val="clear" w:pos="720"/>
        </w:tabs>
        <w:spacing w:line="240" w:lineRule="auto"/>
        <w:ind w:left="0" w:firstLine="0"/>
        <w:jc w:val="left"/>
        <w:rPr>
          <w:rFonts w:ascii="Times New Roman" w:hAnsi="Times New Roman"/>
          <w:b/>
          <w:sz w:val="24"/>
        </w:rPr>
      </w:pPr>
    </w:p>
    <w:p w14:paraId="06608B9F" w14:textId="589B38FF" w:rsidR="00162B27" w:rsidRDefault="00162B27" w:rsidP="00371EB5">
      <w:pPr>
        <w:pStyle w:val="mainanswerparagraph"/>
        <w:spacing w:line="240" w:lineRule="auto"/>
        <w:jc w:val="left"/>
        <w:rPr>
          <w:rFonts w:ascii="Times New Roman" w:hAnsi="Times New Roman"/>
          <w:sz w:val="24"/>
        </w:rPr>
      </w:pPr>
      <w:r>
        <w:rPr>
          <w:rFonts w:ascii="Times New Roman" w:hAnsi="Times New Roman"/>
          <w:sz w:val="24"/>
        </w:rPr>
        <w:t>18.</w:t>
      </w:r>
      <w:r>
        <w:rPr>
          <w:rFonts w:ascii="Times New Roman" w:hAnsi="Times New Roman"/>
          <w:sz w:val="24"/>
        </w:rPr>
        <w:tab/>
      </w:r>
      <w:r w:rsidRPr="00162B27">
        <w:rPr>
          <w:rFonts w:ascii="Times New Roman" w:hAnsi="Times New Roman"/>
          <w:sz w:val="24"/>
        </w:rPr>
        <w:t>A primary goal for tax reform in 2017 was to lower the Federal income tax rate for</w:t>
      </w:r>
      <w:r>
        <w:rPr>
          <w:rFonts w:ascii="Times New Roman" w:hAnsi="Times New Roman"/>
          <w:sz w:val="24"/>
        </w:rPr>
        <w:t xml:space="preserve"> </w:t>
      </w:r>
      <w:r w:rsidRPr="00162B27">
        <w:rPr>
          <w:rFonts w:ascii="Times New Roman" w:hAnsi="Times New Roman"/>
          <w:sz w:val="24"/>
        </w:rPr>
        <w:t>C</w:t>
      </w:r>
      <w:r w:rsidR="008D19D4">
        <w:rPr>
          <w:rFonts w:ascii="Times New Roman" w:hAnsi="Times New Roman"/>
          <w:sz w:val="24"/>
        </w:rPr>
        <w:t> </w:t>
      </w:r>
      <w:r w:rsidRPr="00162B27">
        <w:rPr>
          <w:rFonts w:ascii="Times New Roman" w:hAnsi="Times New Roman"/>
          <w:sz w:val="24"/>
        </w:rPr>
        <w:t>corporations, improving the international competitiveness of U.S. corporations and</w:t>
      </w:r>
      <w:r>
        <w:rPr>
          <w:rFonts w:ascii="Times New Roman" w:hAnsi="Times New Roman"/>
          <w:sz w:val="24"/>
        </w:rPr>
        <w:t xml:space="preserve"> </w:t>
      </w:r>
      <w:r w:rsidRPr="00162B27">
        <w:rPr>
          <w:rFonts w:ascii="Times New Roman" w:hAnsi="Times New Roman"/>
          <w:sz w:val="24"/>
        </w:rPr>
        <w:t>attracting investment in the United States from non-U.S. multinational corporations.</w:t>
      </w:r>
    </w:p>
    <w:p w14:paraId="6381DA62" w14:textId="77777777" w:rsidR="00162B27" w:rsidRPr="00162B27" w:rsidRDefault="00162B27" w:rsidP="00371EB5">
      <w:pPr>
        <w:pStyle w:val="mainanswerparagraph"/>
        <w:spacing w:line="240" w:lineRule="auto"/>
        <w:rPr>
          <w:rFonts w:ascii="Times New Roman" w:hAnsi="Times New Roman"/>
          <w:sz w:val="24"/>
        </w:rPr>
      </w:pPr>
    </w:p>
    <w:p w14:paraId="7203905C" w14:textId="79CABCD4" w:rsidR="00E76FAD" w:rsidRDefault="00E76FAD" w:rsidP="00ED1F3D">
      <w:pPr>
        <w:pStyle w:val="mainanswerparagraph"/>
        <w:tabs>
          <w:tab w:val="clear" w:pos="720"/>
        </w:tabs>
        <w:spacing w:line="240" w:lineRule="auto"/>
        <w:ind w:left="0" w:firstLine="0"/>
        <w:jc w:val="left"/>
        <w:rPr>
          <w:rFonts w:ascii="Times New Roman" w:hAnsi="Times New Roman"/>
          <w:b/>
          <w:sz w:val="24"/>
        </w:rPr>
      </w:pPr>
      <w:r>
        <w:rPr>
          <w:rFonts w:ascii="Times New Roman" w:hAnsi="Times New Roman"/>
          <w:b/>
          <w:sz w:val="24"/>
        </w:rPr>
        <w:t>Challenge</w:t>
      </w:r>
      <w:r w:rsidR="00753CCE">
        <w:rPr>
          <w:rFonts w:ascii="Times New Roman" w:hAnsi="Times New Roman"/>
          <w:b/>
          <w:sz w:val="24"/>
        </w:rPr>
        <w:t>s</w:t>
      </w:r>
      <w:r>
        <w:rPr>
          <w:rFonts w:ascii="Times New Roman" w:hAnsi="Times New Roman"/>
          <w:b/>
          <w:sz w:val="24"/>
        </w:rPr>
        <w:t xml:space="preserve"> of Lowering Tax Rates</w:t>
      </w:r>
    </w:p>
    <w:p w14:paraId="30E32101" w14:textId="44D522EE" w:rsidR="00E76FAD" w:rsidRDefault="00E76FAD" w:rsidP="00ED1F3D">
      <w:pPr>
        <w:pStyle w:val="mainanswerparagraph"/>
        <w:tabs>
          <w:tab w:val="clear" w:pos="720"/>
        </w:tabs>
        <w:spacing w:line="240" w:lineRule="auto"/>
        <w:ind w:left="0" w:firstLine="0"/>
        <w:jc w:val="left"/>
        <w:rPr>
          <w:rFonts w:ascii="Times New Roman" w:hAnsi="Times New Roman"/>
          <w:b/>
          <w:sz w:val="24"/>
        </w:rPr>
      </w:pPr>
    </w:p>
    <w:p w14:paraId="75C85A33" w14:textId="77777777" w:rsidR="00637731" w:rsidRDefault="00C66597" w:rsidP="00371EB5">
      <w:pPr>
        <w:pStyle w:val="mainanswerparagraph"/>
        <w:spacing w:line="240" w:lineRule="auto"/>
        <w:jc w:val="left"/>
        <w:rPr>
          <w:rFonts w:ascii="Times New Roman" w:hAnsi="Times New Roman"/>
          <w:sz w:val="24"/>
        </w:rPr>
      </w:pPr>
      <w:r>
        <w:rPr>
          <w:rFonts w:ascii="Times New Roman" w:hAnsi="Times New Roman"/>
          <w:sz w:val="24"/>
        </w:rPr>
        <w:t>19.</w:t>
      </w:r>
      <w:r>
        <w:rPr>
          <w:rFonts w:ascii="Times New Roman" w:hAnsi="Times New Roman"/>
          <w:sz w:val="24"/>
        </w:rPr>
        <w:tab/>
      </w:r>
      <w:r w:rsidRPr="00C66597">
        <w:rPr>
          <w:rFonts w:ascii="Times New Roman" w:hAnsi="Times New Roman"/>
          <w:sz w:val="24"/>
        </w:rPr>
        <w:t>The Tax Reform Act of 1986 lowered the Federal corporate income tax rate from a maximum</w:t>
      </w:r>
      <w:r>
        <w:rPr>
          <w:rFonts w:ascii="Times New Roman" w:hAnsi="Times New Roman"/>
          <w:sz w:val="24"/>
        </w:rPr>
        <w:t xml:space="preserve"> </w:t>
      </w:r>
      <w:r w:rsidRPr="00C66597">
        <w:rPr>
          <w:rFonts w:ascii="Times New Roman" w:hAnsi="Times New Roman"/>
          <w:sz w:val="24"/>
        </w:rPr>
        <w:t>of 46</w:t>
      </w:r>
      <w:r>
        <w:rPr>
          <w:rFonts w:ascii="Times New Roman" w:hAnsi="Times New Roman"/>
          <w:sz w:val="24"/>
        </w:rPr>
        <w:t>%</w:t>
      </w:r>
      <w:r w:rsidRPr="00C66597">
        <w:rPr>
          <w:rFonts w:ascii="Times New Roman" w:hAnsi="Times New Roman"/>
          <w:sz w:val="24"/>
        </w:rPr>
        <w:t xml:space="preserve"> to 34</w:t>
      </w:r>
      <w:r w:rsidR="00753CCE">
        <w:rPr>
          <w:rFonts w:ascii="Times New Roman" w:hAnsi="Times New Roman"/>
          <w:sz w:val="24"/>
        </w:rPr>
        <w:t>%</w:t>
      </w:r>
      <w:r w:rsidRPr="00C66597">
        <w:rPr>
          <w:rFonts w:ascii="Times New Roman" w:hAnsi="Times New Roman"/>
          <w:sz w:val="24"/>
        </w:rPr>
        <w:t>.</w:t>
      </w:r>
      <w:r w:rsidR="00A94032">
        <w:rPr>
          <w:rFonts w:ascii="Times New Roman" w:hAnsi="Times New Roman"/>
          <w:sz w:val="24"/>
        </w:rPr>
        <w:t xml:space="preserve"> </w:t>
      </w:r>
      <w:r w:rsidR="00A94032" w:rsidRPr="00A94032">
        <w:rPr>
          <w:rFonts w:ascii="Times New Roman" w:hAnsi="Times New Roman"/>
          <w:sz w:val="24"/>
        </w:rPr>
        <w:t xml:space="preserve">This led many other industrialized countries to lower their corporate tax rate. </w:t>
      </w:r>
    </w:p>
    <w:p w14:paraId="7ABBAF36" w14:textId="77777777" w:rsidR="00637731" w:rsidRDefault="00637731" w:rsidP="00371EB5">
      <w:pPr>
        <w:pStyle w:val="mainanswerparagraph"/>
        <w:spacing w:line="240" w:lineRule="auto"/>
        <w:jc w:val="left"/>
        <w:rPr>
          <w:rFonts w:ascii="Times New Roman" w:hAnsi="Times New Roman"/>
          <w:sz w:val="24"/>
        </w:rPr>
      </w:pPr>
    </w:p>
    <w:p w14:paraId="27721C35" w14:textId="7D304BA0" w:rsidR="00637731" w:rsidRDefault="00637731" w:rsidP="00371EB5">
      <w:pPr>
        <w:pStyle w:val="mainanswerparagraph"/>
        <w:spacing w:line="240" w:lineRule="auto"/>
        <w:ind w:left="1440"/>
        <w:jc w:val="left"/>
        <w:rPr>
          <w:rFonts w:ascii="Times New Roman" w:hAnsi="Times New Roman"/>
          <w:sz w:val="24"/>
        </w:rPr>
      </w:pPr>
      <w:r>
        <w:rPr>
          <w:rFonts w:ascii="Times New Roman" w:hAnsi="Times New Roman"/>
          <w:sz w:val="24"/>
        </w:rPr>
        <w:t>a.</w:t>
      </w:r>
      <w:r>
        <w:rPr>
          <w:rFonts w:ascii="Times New Roman" w:hAnsi="Times New Roman"/>
          <w:sz w:val="24"/>
        </w:rPr>
        <w:tab/>
      </w:r>
      <w:r w:rsidR="00A94032" w:rsidRPr="00A94032">
        <w:rPr>
          <w:rFonts w:ascii="Times New Roman" w:hAnsi="Times New Roman"/>
          <w:sz w:val="24"/>
        </w:rPr>
        <w:t>After many years, most of these countries had lowered</w:t>
      </w:r>
      <w:r w:rsidR="00A94032">
        <w:rPr>
          <w:rFonts w:ascii="Times New Roman" w:hAnsi="Times New Roman"/>
          <w:sz w:val="24"/>
        </w:rPr>
        <w:t xml:space="preserve"> </w:t>
      </w:r>
      <w:r w:rsidR="00A94032" w:rsidRPr="00A94032">
        <w:rPr>
          <w:rFonts w:ascii="Times New Roman" w:hAnsi="Times New Roman"/>
          <w:sz w:val="24"/>
        </w:rPr>
        <w:t>their rate below 34</w:t>
      </w:r>
      <w:r w:rsidR="00A94032">
        <w:rPr>
          <w:rFonts w:ascii="Times New Roman" w:hAnsi="Times New Roman"/>
          <w:sz w:val="24"/>
        </w:rPr>
        <w:t>%</w:t>
      </w:r>
      <w:r w:rsidR="00A94032" w:rsidRPr="00A94032">
        <w:rPr>
          <w:rFonts w:ascii="Times New Roman" w:hAnsi="Times New Roman"/>
          <w:sz w:val="24"/>
        </w:rPr>
        <w:t xml:space="preserve">, </w:t>
      </w:r>
      <w:r w:rsidR="00CA2796">
        <w:rPr>
          <w:rFonts w:ascii="Times New Roman" w:hAnsi="Times New Roman"/>
          <w:sz w:val="24"/>
        </w:rPr>
        <w:t>while</w:t>
      </w:r>
      <w:r w:rsidR="00CA2796" w:rsidRPr="00A94032">
        <w:rPr>
          <w:rFonts w:ascii="Times New Roman" w:hAnsi="Times New Roman"/>
          <w:sz w:val="24"/>
        </w:rPr>
        <w:t xml:space="preserve"> </w:t>
      </w:r>
      <w:r w:rsidR="00A94032" w:rsidRPr="00A94032">
        <w:rPr>
          <w:rFonts w:ascii="Times New Roman" w:hAnsi="Times New Roman"/>
          <w:sz w:val="24"/>
        </w:rPr>
        <w:t>the United States raised the top corporate rate to</w:t>
      </w:r>
      <w:r w:rsidR="00A94032">
        <w:rPr>
          <w:rFonts w:ascii="Times New Roman" w:hAnsi="Times New Roman"/>
          <w:sz w:val="24"/>
        </w:rPr>
        <w:t xml:space="preserve"> </w:t>
      </w:r>
      <w:r w:rsidR="00A94032" w:rsidRPr="00A94032">
        <w:rPr>
          <w:rFonts w:ascii="Times New Roman" w:hAnsi="Times New Roman"/>
          <w:sz w:val="24"/>
        </w:rPr>
        <w:t>35</w:t>
      </w:r>
      <w:r w:rsidR="00A94032">
        <w:rPr>
          <w:rFonts w:ascii="Times New Roman" w:hAnsi="Times New Roman"/>
          <w:sz w:val="24"/>
        </w:rPr>
        <w:t>%</w:t>
      </w:r>
      <w:r w:rsidR="00A94032" w:rsidRPr="00A94032">
        <w:rPr>
          <w:rFonts w:ascii="Times New Roman" w:hAnsi="Times New Roman"/>
          <w:sz w:val="24"/>
        </w:rPr>
        <w:t xml:space="preserve">. </w:t>
      </w:r>
    </w:p>
    <w:p w14:paraId="72E98683" w14:textId="77777777" w:rsidR="00637731" w:rsidRDefault="00637731" w:rsidP="00371EB5">
      <w:pPr>
        <w:pStyle w:val="mainanswerparagraph"/>
        <w:spacing w:line="240" w:lineRule="auto"/>
        <w:ind w:left="1440"/>
        <w:jc w:val="left"/>
        <w:rPr>
          <w:rFonts w:ascii="Times New Roman" w:hAnsi="Times New Roman"/>
          <w:sz w:val="24"/>
        </w:rPr>
      </w:pPr>
    </w:p>
    <w:p w14:paraId="3FA9E365" w14:textId="7908A39F" w:rsidR="00C66597" w:rsidRDefault="00637731" w:rsidP="00371EB5">
      <w:pPr>
        <w:pStyle w:val="mainanswerparagraph"/>
        <w:spacing w:line="240" w:lineRule="auto"/>
        <w:ind w:left="1440"/>
        <w:jc w:val="left"/>
        <w:rPr>
          <w:rFonts w:ascii="Times New Roman" w:hAnsi="Times New Roman"/>
          <w:sz w:val="24"/>
        </w:rPr>
      </w:pPr>
      <w:r>
        <w:rPr>
          <w:rFonts w:ascii="Times New Roman" w:hAnsi="Times New Roman"/>
          <w:sz w:val="24"/>
        </w:rPr>
        <w:t>b.</w:t>
      </w:r>
      <w:r>
        <w:rPr>
          <w:rFonts w:ascii="Times New Roman" w:hAnsi="Times New Roman"/>
          <w:sz w:val="24"/>
        </w:rPr>
        <w:tab/>
      </w:r>
      <w:r w:rsidR="00A94032" w:rsidRPr="00A94032">
        <w:rPr>
          <w:rFonts w:ascii="Times New Roman" w:hAnsi="Times New Roman"/>
          <w:sz w:val="24"/>
        </w:rPr>
        <w:t>With U.S. companies facing increasing global competition, most members</w:t>
      </w:r>
      <w:r w:rsidR="00A94032">
        <w:rPr>
          <w:rFonts w:ascii="Times New Roman" w:hAnsi="Times New Roman"/>
          <w:sz w:val="24"/>
        </w:rPr>
        <w:t xml:space="preserve"> </w:t>
      </w:r>
      <w:r w:rsidR="00A94032" w:rsidRPr="00A94032">
        <w:rPr>
          <w:rFonts w:ascii="Times New Roman" w:hAnsi="Times New Roman"/>
          <w:sz w:val="24"/>
        </w:rPr>
        <w:t xml:space="preserve">of Congress and U.S. </w:t>
      </w:r>
      <w:r w:rsidR="00ED1F3D">
        <w:rPr>
          <w:rFonts w:ascii="Times New Roman" w:hAnsi="Times New Roman"/>
          <w:sz w:val="24"/>
        </w:rPr>
        <w:t>P</w:t>
      </w:r>
      <w:r w:rsidR="00ED1F3D" w:rsidRPr="00A94032">
        <w:rPr>
          <w:rFonts w:ascii="Times New Roman" w:hAnsi="Times New Roman"/>
          <w:sz w:val="24"/>
        </w:rPr>
        <w:t xml:space="preserve">residents </w:t>
      </w:r>
      <w:r w:rsidR="00A94032" w:rsidRPr="00A94032">
        <w:rPr>
          <w:rFonts w:ascii="Times New Roman" w:hAnsi="Times New Roman"/>
          <w:sz w:val="24"/>
        </w:rPr>
        <w:t>favored l</w:t>
      </w:r>
      <w:r>
        <w:rPr>
          <w:rFonts w:ascii="Times New Roman" w:hAnsi="Times New Roman"/>
          <w:sz w:val="24"/>
        </w:rPr>
        <w:t>owering the corporate tax rate.</w:t>
      </w:r>
    </w:p>
    <w:p w14:paraId="4A228878" w14:textId="70A6830A" w:rsidR="00A94032" w:rsidRDefault="00A94032" w:rsidP="00371EB5">
      <w:pPr>
        <w:pStyle w:val="mainanswerparagraph"/>
        <w:spacing w:line="240" w:lineRule="auto"/>
        <w:jc w:val="left"/>
        <w:rPr>
          <w:rFonts w:ascii="Times New Roman" w:hAnsi="Times New Roman"/>
          <w:sz w:val="24"/>
        </w:rPr>
      </w:pPr>
    </w:p>
    <w:p w14:paraId="3EFE0288" w14:textId="7492E45E" w:rsidR="00637731" w:rsidRDefault="00637731" w:rsidP="00371EB5">
      <w:pPr>
        <w:pStyle w:val="mainanswerparagraph"/>
        <w:spacing w:line="240" w:lineRule="auto"/>
        <w:jc w:val="left"/>
        <w:rPr>
          <w:rFonts w:ascii="Times New Roman" w:hAnsi="Times New Roman"/>
          <w:sz w:val="24"/>
        </w:rPr>
      </w:pPr>
      <w:r>
        <w:rPr>
          <w:rFonts w:ascii="Times New Roman" w:hAnsi="Times New Roman"/>
          <w:sz w:val="24"/>
        </w:rPr>
        <w:lastRenderedPageBreak/>
        <w:t>20.</w:t>
      </w:r>
      <w:r>
        <w:rPr>
          <w:rFonts w:ascii="Times New Roman" w:hAnsi="Times New Roman"/>
          <w:sz w:val="24"/>
        </w:rPr>
        <w:tab/>
      </w:r>
      <w:bookmarkStart w:id="0" w:name="_Hlk37332789"/>
      <w:r w:rsidRPr="00637731">
        <w:rPr>
          <w:rFonts w:ascii="Times New Roman" w:hAnsi="Times New Roman"/>
          <w:sz w:val="24"/>
        </w:rPr>
        <w:t xml:space="preserve">One obstacle in lowering </w:t>
      </w:r>
      <w:r w:rsidR="007D1FF6" w:rsidRPr="00637731">
        <w:rPr>
          <w:rFonts w:ascii="Times New Roman" w:hAnsi="Times New Roman"/>
          <w:sz w:val="24"/>
        </w:rPr>
        <w:t xml:space="preserve">the Federal corporate income tax rate </w:t>
      </w:r>
      <w:r w:rsidRPr="00637731">
        <w:rPr>
          <w:rFonts w:ascii="Times New Roman" w:hAnsi="Times New Roman"/>
          <w:sz w:val="24"/>
        </w:rPr>
        <w:t>is the related reduction in revenues for the Federal</w:t>
      </w:r>
      <w:r>
        <w:rPr>
          <w:rFonts w:ascii="Times New Roman" w:hAnsi="Times New Roman"/>
          <w:sz w:val="24"/>
        </w:rPr>
        <w:t xml:space="preserve"> </w:t>
      </w:r>
      <w:r w:rsidRPr="00637731">
        <w:rPr>
          <w:rFonts w:ascii="Times New Roman" w:hAnsi="Times New Roman"/>
          <w:sz w:val="24"/>
        </w:rPr>
        <w:t>government.</w:t>
      </w:r>
      <w:r w:rsidR="007D1FF6" w:rsidRPr="007D1FF6">
        <w:rPr>
          <w:rFonts w:ascii="Times New Roman" w:hAnsi="Times New Roman"/>
          <w:sz w:val="24"/>
        </w:rPr>
        <w:t xml:space="preserve"> </w:t>
      </w:r>
      <w:r w:rsidR="007D1FF6" w:rsidRPr="00637731">
        <w:rPr>
          <w:rFonts w:ascii="Times New Roman" w:hAnsi="Times New Roman"/>
          <w:sz w:val="24"/>
        </w:rPr>
        <w:t>Another obstacle is that most</w:t>
      </w:r>
      <w:r w:rsidR="007D1FF6">
        <w:rPr>
          <w:rFonts w:ascii="Times New Roman" w:hAnsi="Times New Roman"/>
          <w:sz w:val="24"/>
        </w:rPr>
        <w:t xml:space="preserve"> </w:t>
      </w:r>
      <w:r w:rsidR="007D1FF6" w:rsidRPr="00637731">
        <w:rPr>
          <w:rFonts w:ascii="Times New Roman" w:hAnsi="Times New Roman"/>
          <w:sz w:val="24"/>
        </w:rPr>
        <w:t xml:space="preserve">businesses in the United States operate </w:t>
      </w:r>
      <w:r w:rsidR="007D1FF6">
        <w:rPr>
          <w:rFonts w:ascii="Times New Roman" w:hAnsi="Times New Roman"/>
          <w:sz w:val="24"/>
        </w:rPr>
        <w:t xml:space="preserve">in a noncorporate form (e.g., </w:t>
      </w:r>
      <w:r w:rsidR="007D1FF6" w:rsidRPr="00637731">
        <w:rPr>
          <w:rFonts w:ascii="Times New Roman" w:hAnsi="Times New Roman"/>
          <w:sz w:val="24"/>
        </w:rPr>
        <w:t>sole proprietorships, partnerships, S</w:t>
      </w:r>
      <w:r w:rsidR="007D1FF6">
        <w:rPr>
          <w:rFonts w:ascii="Times New Roman" w:hAnsi="Times New Roman"/>
          <w:sz w:val="24"/>
        </w:rPr>
        <w:t> </w:t>
      </w:r>
      <w:r w:rsidR="007D1FF6" w:rsidRPr="00637731">
        <w:rPr>
          <w:rFonts w:ascii="Times New Roman" w:hAnsi="Times New Roman"/>
          <w:sz w:val="24"/>
        </w:rPr>
        <w:t xml:space="preserve">corporations, </w:t>
      </w:r>
      <w:r w:rsidR="007D1FF6">
        <w:rPr>
          <w:rFonts w:ascii="Times New Roman" w:hAnsi="Times New Roman"/>
          <w:sz w:val="24"/>
        </w:rPr>
        <w:t>or LLCs</w:t>
      </w:r>
      <w:r w:rsidR="007D1FF6">
        <w:rPr>
          <w:rFonts w:ascii="Times New Roman" w:hAnsi="Times New Roman"/>
          <w:sz w:val="24"/>
        </w:rPr>
        <w:t>).</w:t>
      </w:r>
      <w:bookmarkEnd w:id="0"/>
    </w:p>
    <w:p w14:paraId="1E3F0708" w14:textId="501194E2" w:rsidR="00637731" w:rsidRDefault="00637731" w:rsidP="00637731">
      <w:pPr>
        <w:pStyle w:val="mainanswerparagraph"/>
        <w:jc w:val="left"/>
        <w:rPr>
          <w:rFonts w:ascii="Times New Roman" w:hAnsi="Times New Roman"/>
          <w:sz w:val="24"/>
        </w:rPr>
      </w:pPr>
    </w:p>
    <w:p w14:paraId="4D8994D1" w14:textId="302B6B40" w:rsidR="00637731" w:rsidRDefault="00637731" w:rsidP="00371EB5">
      <w:pPr>
        <w:pStyle w:val="mainanswerparagraph"/>
        <w:spacing w:line="240" w:lineRule="auto"/>
        <w:jc w:val="left"/>
        <w:rPr>
          <w:rFonts w:ascii="Times New Roman" w:hAnsi="Times New Roman"/>
          <w:sz w:val="24"/>
        </w:rPr>
      </w:pPr>
      <w:r>
        <w:rPr>
          <w:rFonts w:ascii="Times New Roman" w:hAnsi="Times New Roman"/>
          <w:sz w:val="24"/>
        </w:rPr>
        <w:t>21.</w:t>
      </w:r>
      <w:r>
        <w:rPr>
          <w:rFonts w:ascii="Times New Roman" w:hAnsi="Times New Roman"/>
          <w:sz w:val="24"/>
        </w:rPr>
        <w:tab/>
      </w:r>
      <w:bookmarkStart w:id="1" w:name="_Hlk37332807"/>
      <w:r w:rsidR="007D1FF6">
        <w:rPr>
          <w:rFonts w:ascii="Times New Roman" w:hAnsi="Times New Roman"/>
          <w:sz w:val="24"/>
        </w:rPr>
        <w:t>T</w:t>
      </w:r>
      <w:r w:rsidR="007D1FF6" w:rsidRPr="00287073">
        <w:rPr>
          <w:rFonts w:ascii="Times New Roman" w:hAnsi="Times New Roman"/>
          <w:sz w:val="24"/>
        </w:rPr>
        <w:t xml:space="preserve">he owners of </w:t>
      </w:r>
      <w:r w:rsidR="007D1FF6">
        <w:rPr>
          <w:rFonts w:ascii="Times New Roman" w:hAnsi="Times New Roman"/>
          <w:sz w:val="24"/>
        </w:rPr>
        <w:t>non-C corporations</w:t>
      </w:r>
      <w:r w:rsidR="007D1FF6" w:rsidRPr="00287073">
        <w:rPr>
          <w:rFonts w:ascii="Times New Roman" w:hAnsi="Times New Roman"/>
          <w:sz w:val="24"/>
        </w:rPr>
        <w:t xml:space="preserve"> are likely to recognize</w:t>
      </w:r>
      <w:r w:rsidR="007D1FF6">
        <w:rPr>
          <w:rFonts w:ascii="Times New Roman" w:hAnsi="Times New Roman"/>
          <w:sz w:val="24"/>
        </w:rPr>
        <w:t xml:space="preserve"> </w:t>
      </w:r>
      <w:r w:rsidR="007D1FF6" w:rsidRPr="00287073">
        <w:rPr>
          <w:rFonts w:ascii="Times New Roman" w:hAnsi="Times New Roman"/>
          <w:sz w:val="24"/>
        </w:rPr>
        <w:t>other forms of income</w:t>
      </w:r>
      <w:r w:rsidR="007D1FF6">
        <w:rPr>
          <w:rFonts w:ascii="Times New Roman" w:hAnsi="Times New Roman"/>
          <w:sz w:val="24"/>
        </w:rPr>
        <w:t xml:space="preserve"> (e.g., </w:t>
      </w:r>
      <w:r w:rsidR="007D1FF6" w:rsidRPr="00287073">
        <w:rPr>
          <w:rFonts w:ascii="Times New Roman" w:hAnsi="Times New Roman"/>
          <w:sz w:val="24"/>
        </w:rPr>
        <w:t>investment</w:t>
      </w:r>
      <w:r w:rsidR="007D1FF6">
        <w:rPr>
          <w:rFonts w:ascii="Times New Roman" w:hAnsi="Times New Roman"/>
          <w:sz w:val="24"/>
        </w:rPr>
        <w:t xml:space="preserve"> </w:t>
      </w:r>
      <w:r w:rsidR="007D1FF6" w:rsidRPr="00287073">
        <w:rPr>
          <w:rFonts w:ascii="Times New Roman" w:hAnsi="Times New Roman"/>
          <w:sz w:val="24"/>
        </w:rPr>
        <w:t>income and wages</w:t>
      </w:r>
      <w:r w:rsidR="007D1FF6">
        <w:rPr>
          <w:rFonts w:ascii="Times New Roman" w:hAnsi="Times New Roman"/>
          <w:sz w:val="24"/>
        </w:rPr>
        <w:t>)</w:t>
      </w:r>
      <w:r w:rsidR="007D1FF6" w:rsidRPr="00287073">
        <w:rPr>
          <w:rFonts w:ascii="Times New Roman" w:hAnsi="Times New Roman"/>
          <w:sz w:val="24"/>
        </w:rPr>
        <w:t>. As a result, determining how to tax the business income of pass</w:t>
      </w:r>
      <w:r w:rsidR="007D1FF6">
        <w:rPr>
          <w:rFonts w:ascii="Times New Roman" w:hAnsi="Times New Roman"/>
          <w:sz w:val="24"/>
        </w:rPr>
        <w:t>-</w:t>
      </w:r>
      <w:r w:rsidR="007D1FF6" w:rsidRPr="00287073">
        <w:rPr>
          <w:rFonts w:ascii="Times New Roman" w:hAnsi="Times New Roman"/>
          <w:sz w:val="24"/>
        </w:rPr>
        <w:t>through</w:t>
      </w:r>
      <w:r w:rsidR="007D1FF6">
        <w:rPr>
          <w:rFonts w:ascii="Times New Roman" w:hAnsi="Times New Roman"/>
          <w:sz w:val="24"/>
        </w:rPr>
        <w:t xml:space="preserve"> </w:t>
      </w:r>
      <w:r w:rsidR="007D1FF6" w:rsidRPr="00287073">
        <w:rPr>
          <w:rFonts w:ascii="Times New Roman" w:hAnsi="Times New Roman"/>
          <w:sz w:val="24"/>
        </w:rPr>
        <w:t>entities in a manner comparable to that of a C corporation is challenging</w:t>
      </w:r>
      <w:bookmarkEnd w:id="1"/>
      <w:r w:rsidRPr="00637731">
        <w:rPr>
          <w:rFonts w:ascii="Times New Roman" w:hAnsi="Times New Roman"/>
          <w:sz w:val="24"/>
        </w:rPr>
        <w:t>.</w:t>
      </w:r>
    </w:p>
    <w:p w14:paraId="5A9089F8" w14:textId="77777777" w:rsidR="00A94032" w:rsidRDefault="00A94032" w:rsidP="00A94032">
      <w:pPr>
        <w:pStyle w:val="mainanswerparagraph"/>
        <w:jc w:val="left"/>
        <w:rPr>
          <w:rFonts w:ascii="Times New Roman" w:hAnsi="Times New Roman"/>
          <w:sz w:val="24"/>
        </w:rPr>
      </w:pPr>
    </w:p>
    <w:p w14:paraId="6DC25D8B" w14:textId="2B7B55D6" w:rsidR="00E76FAD" w:rsidRDefault="00E76FAD" w:rsidP="00371EB5">
      <w:pPr>
        <w:rPr>
          <w:b/>
        </w:rPr>
      </w:pPr>
      <w:r>
        <w:rPr>
          <w:b/>
        </w:rPr>
        <w:t>Lowering Tax Rates for Different Business Forms</w:t>
      </w:r>
    </w:p>
    <w:p w14:paraId="49D4D2F4" w14:textId="1AA5D875" w:rsidR="00E76FAD" w:rsidRDefault="00E76FAD" w:rsidP="008C0F15">
      <w:pPr>
        <w:pStyle w:val="mainanswerparagraph"/>
        <w:tabs>
          <w:tab w:val="clear" w:pos="720"/>
        </w:tabs>
        <w:spacing w:line="240" w:lineRule="auto"/>
        <w:ind w:left="0" w:firstLine="0"/>
        <w:jc w:val="left"/>
        <w:rPr>
          <w:rFonts w:ascii="Times New Roman" w:hAnsi="Times New Roman"/>
          <w:b/>
          <w:sz w:val="24"/>
        </w:rPr>
      </w:pPr>
    </w:p>
    <w:p w14:paraId="29E837A8" w14:textId="5B79F5D5" w:rsidR="009736F4" w:rsidRDefault="00637731" w:rsidP="00371EB5">
      <w:pPr>
        <w:pStyle w:val="mainanswerparagraph"/>
        <w:spacing w:line="240" w:lineRule="auto"/>
        <w:jc w:val="left"/>
        <w:rPr>
          <w:rFonts w:ascii="Times New Roman" w:hAnsi="Times New Roman"/>
          <w:sz w:val="24"/>
        </w:rPr>
      </w:pPr>
      <w:r>
        <w:rPr>
          <w:rFonts w:ascii="Times New Roman" w:hAnsi="Times New Roman"/>
          <w:sz w:val="24"/>
        </w:rPr>
        <w:t>22.</w:t>
      </w:r>
      <w:r>
        <w:rPr>
          <w:rFonts w:ascii="Times New Roman" w:hAnsi="Times New Roman"/>
          <w:sz w:val="24"/>
        </w:rPr>
        <w:tab/>
      </w:r>
      <w:r w:rsidRPr="00637731">
        <w:rPr>
          <w:rFonts w:ascii="Times New Roman" w:hAnsi="Times New Roman"/>
          <w:sz w:val="24"/>
        </w:rPr>
        <w:t>There is more than one way to lower the tax rate on the business income noncorporate</w:t>
      </w:r>
      <w:r>
        <w:rPr>
          <w:rFonts w:ascii="Times New Roman" w:hAnsi="Times New Roman"/>
          <w:sz w:val="24"/>
        </w:rPr>
        <w:t xml:space="preserve"> </w:t>
      </w:r>
      <w:r w:rsidRPr="00637731">
        <w:rPr>
          <w:rFonts w:ascii="Times New Roman" w:hAnsi="Times New Roman"/>
          <w:sz w:val="24"/>
        </w:rPr>
        <w:t xml:space="preserve">taxpayers earn from their businesses. </w:t>
      </w:r>
    </w:p>
    <w:p w14:paraId="7D77303E" w14:textId="77777777" w:rsidR="009736F4" w:rsidRDefault="009736F4" w:rsidP="00371EB5">
      <w:pPr>
        <w:pStyle w:val="mainanswerparagraph"/>
        <w:spacing w:line="240" w:lineRule="auto"/>
        <w:jc w:val="left"/>
        <w:rPr>
          <w:rFonts w:ascii="Times New Roman" w:hAnsi="Times New Roman"/>
          <w:sz w:val="24"/>
        </w:rPr>
      </w:pPr>
    </w:p>
    <w:p w14:paraId="13B041F6" w14:textId="07414F4B" w:rsidR="009736F4" w:rsidRDefault="009736F4" w:rsidP="00371EB5">
      <w:pPr>
        <w:pStyle w:val="mainanswerparagraph"/>
        <w:spacing w:line="240" w:lineRule="auto"/>
        <w:ind w:left="1440"/>
        <w:jc w:val="left"/>
        <w:rPr>
          <w:rFonts w:ascii="Times New Roman" w:hAnsi="Times New Roman"/>
          <w:sz w:val="24"/>
        </w:rPr>
      </w:pPr>
      <w:r>
        <w:rPr>
          <w:rFonts w:ascii="Times New Roman" w:hAnsi="Times New Roman"/>
          <w:sz w:val="24"/>
        </w:rPr>
        <w:t>a.</w:t>
      </w:r>
      <w:r>
        <w:rPr>
          <w:rFonts w:ascii="Times New Roman" w:hAnsi="Times New Roman"/>
          <w:sz w:val="24"/>
        </w:rPr>
        <w:tab/>
        <w:t>A</w:t>
      </w:r>
      <w:r w:rsidR="00637731" w:rsidRPr="00637731">
        <w:rPr>
          <w:rFonts w:ascii="Times New Roman" w:hAnsi="Times New Roman"/>
          <w:sz w:val="24"/>
        </w:rPr>
        <w:t xml:space="preserve">n alternative rate structure could be applied to business income. </w:t>
      </w:r>
    </w:p>
    <w:p w14:paraId="27770A81" w14:textId="77777777" w:rsidR="009736F4" w:rsidRDefault="009736F4" w:rsidP="00371EB5">
      <w:pPr>
        <w:pStyle w:val="mainanswerparagraph"/>
        <w:spacing w:line="240" w:lineRule="auto"/>
        <w:ind w:left="1440"/>
        <w:jc w:val="left"/>
        <w:rPr>
          <w:rFonts w:ascii="Times New Roman" w:hAnsi="Times New Roman"/>
          <w:sz w:val="24"/>
        </w:rPr>
      </w:pPr>
    </w:p>
    <w:p w14:paraId="676DBC98" w14:textId="31DA7A04" w:rsidR="00637731" w:rsidRDefault="009736F4" w:rsidP="00371EB5">
      <w:pPr>
        <w:pStyle w:val="mainanswerparagraph"/>
        <w:spacing w:line="240" w:lineRule="auto"/>
        <w:ind w:left="1440"/>
        <w:jc w:val="left"/>
        <w:rPr>
          <w:rFonts w:ascii="Times New Roman" w:hAnsi="Times New Roman"/>
          <w:sz w:val="24"/>
        </w:rPr>
      </w:pPr>
      <w:r>
        <w:rPr>
          <w:rFonts w:ascii="Times New Roman" w:hAnsi="Times New Roman"/>
          <w:sz w:val="24"/>
        </w:rPr>
        <w:t>b.</w:t>
      </w:r>
      <w:r>
        <w:rPr>
          <w:rFonts w:ascii="Times New Roman" w:hAnsi="Times New Roman"/>
          <w:sz w:val="24"/>
        </w:rPr>
        <w:tab/>
        <w:t>N</w:t>
      </w:r>
      <w:r w:rsidR="00637731" w:rsidRPr="00637731">
        <w:rPr>
          <w:rFonts w:ascii="Times New Roman" w:hAnsi="Times New Roman"/>
          <w:sz w:val="24"/>
        </w:rPr>
        <w:t>oncorporate</w:t>
      </w:r>
      <w:r w:rsidR="00637731">
        <w:rPr>
          <w:rFonts w:ascii="Times New Roman" w:hAnsi="Times New Roman"/>
          <w:sz w:val="24"/>
        </w:rPr>
        <w:t xml:space="preserve"> </w:t>
      </w:r>
      <w:r w:rsidR="00637731" w:rsidRPr="00637731">
        <w:rPr>
          <w:rFonts w:ascii="Times New Roman" w:hAnsi="Times New Roman"/>
          <w:sz w:val="24"/>
        </w:rPr>
        <w:t>taxpayers could be allowed a special deduction to reduce the income from</w:t>
      </w:r>
      <w:r w:rsidR="00637731">
        <w:rPr>
          <w:rFonts w:ascii="Times New Roman" w:hAnsi="Times New Roman"/>
          <w:sz w:val="24"/>
        </w:rPr>
        <w:t xml:space="preserve"> </w:t>
      </w:r>
      <w:r w:rsidR="00637731" w:rsidRPr="00637731">
        <w:rPr>
          <w:rFonts w:ascii="Times New Roman" w:hAnsi="Times New Roman"/>
          <w:sz w:val="24"/>
        </w:rPr>
        <w:t>their business activities, thereby lowering the tax base (and lowering the taxes due).</w:t>
      </w:r>
    </w:p>
    <w:p w14:paraId="62041E11" w14:textId="0AF1CC6A" w:rsidR="009736F4" w:rsidRDefault="009736F4" w:rsidP="00371EB5">
      <w:pPr>
        <w:pStyle w:val="mainanswerparagraph"/>
        <w:spacing w:line="240" w:lineRule="auto"/>
        <w:jc w:val="left"/>
        <w:rPr>
          <w:rFonts w:ascii="Times New Roman" w:hAnsi="Times New Roman"/>
          <w:sz w:val="24"/>
        </w:rPr>
      </w:pPr>
    </w:p>
    <w:p w14:paraId="793BB966" w14:textId="4BCC31E5" w:rsidR="009736F4" w:rsidRDefault="009736F4" w:rsidP="00371EB5">
      <w:pPr>
        <w:pStyle w:val="mainanswerparagraph"/>
        <w:spacing w:line="240" w:lineRule="auto"/>
        <w:jc w:val="left"/>
        <w:rPr>
          <w:rFonts w:ascii="Times New Roman" w:hAnsi="Times New Roman"/>
          <w:sz w:val="24"/>
        </w:rPr>
      </w:pPr>
      <w:r>
        <w:rPr>
          <w:rFonts w:ascii="Times New Roman" w:hAnsi="Times New Roman"/>
          <w:sz w:val="24"/>
        </w:rPr>
        <w:t>23.</w:t>
      </w:r>
      <w:r>
        <w:rPr>
          <w:rFonts w:ascii="Times New Roman" w:hAnsi="Times New Roman"/>
          <w:sz w:val="24"/>
        </w:rPr>
        <w:tab/>
      </w:r>
      <w:r w:rsidRPr="009736F4">
        <w:rPr>
          <w:rFonts w:ascii="Times New Roman" w:hAnsi="Times New Roman"/>
          <w:sz w:val="24"/>
        </w:rPr>
        <w:t>Challenges exist in both of these approaches, as well as in determining what rate is</w:t>
      </w:r>
      <w:r>
        <w:rPr>
          <w:rFonts w:ascii="Times New Roman" w:hAnsi="Times New Roman"/>
          <w:sz w:val="24"/>
        </w:rPr>
        <w:t xml:space="preserve"> </w:t>
      </w:r>
      <w:r w:rsidRPr="009736F4">
        <w:rPr>
          <w:rFonts w:ascii="Times New Roman" w:hAnsi="Times New Roman"/>
          <w:sz w:val="24"/>
        </w:rPr>
        <w:t>comparable to the corporate tax rate given the double taxation of corporate income.</w:t>
      </w:r>
    </w:p>
    <w:p w14:paraId="73A2F435" w14:textId="35A47B47" w:rsidR="009736F4" w:rsidRDefault="009736F4" w:rsidP="00371EB5">
      <w:pPr>
        <w:pStyle w:val="mainanswerparagraph"/>
        <w:spacing w:line="240" w:lineRule="auto"/>
        <w:jc w:val="left"/>
        <w:rPr>
          <w:rFonts w:ascii="Times New Roman" w:hAnsi="Times New Roman"/>
          <w:sz w:val="24"/>
        </w:rPr>
      </w:pPr>
    </w:p>
    <w:p w14:paraId="13847972" w14:textId="1369574B" w:rsidR="009736F4" w:rsidRDefault="009736F4" w:rsidP="003347F8">
      <w:pPr>
        <w:pStyle w:val="mainanswerparagraph"/>
        <w:spacing w:line="240" w:lineRule="auto"/>
        <w:jc w:val="left"/>
        <w:rPr>
          <w:rFonts w:ascii="Times New Roman" w:hAnsi="Times New Roman"/>
          <w:sz w:val="24"/>
        </w:rPr>
      </w:pPr>
      <w:r>
        <w:rPr>
          <w:rFonts w:ascii="Times New Roman" w:hAnsi="Times New Roman"/>
          <w:sz w:val="24"/>
        </w:rPr>
        <w:t>24.</w:t>
      </w:r>
      <w:r>
        <w:rPr>
          <w:rFonts w:ascii="Times New Roman" w:hAnsi="Times New Roman"/>
          <w:sz w:val="24"/>
        </w:rPr>
        <w:tab/>
      </w:r>
      <w:r w:rsidRPr="009736F4">
        <w:rPr>
          <w:rFonts w:ascii="Times New Roman" w:hAnsi="Times New Roman"/>
          <w:sz w:val="24"/>
        </w:rPr>
        <w:t>Ultimately, the business deduction approach was</w:t>
      </w:r>
      <w:r>
        <w:rPr>
          <w:rFonts w:ascii="Times New Roman" w:hAnsi="Times New Roman"/>
          <w:sz w:val="24"/>
        </w:rPr>
        <w:t xml:space="preserve"> </w:t>
      </w:r>
      <w:r w:rsidRPr="009736F4">
        <w:rPr>
          <w:rFonts w:ascii="Times New Roman" w:hAnsi="Times New Roman"/>
          <w:sz w:val="24"/>
        </w:rPr>
        <w:t>selected.</w:t>
      </w:r>
    </w:p>
    <w:p w14:paraId="5241511D" w14:textId="603ABF19" w:rsidR="009736F4" w:rsidRDefault="009736F4" w:rsidP="00371EB5">
      <w:pPr>
        <w:pStyle w:val="mainanswerparagraph"/>
        <w:spacing w:line="240" w:lineRule="auto"/>
        <w:jc w:val="left"/>
        <w:rPr>
          <w:rFonts w:ascii="Times New Roman" w:hAnsi="Times New Roman"/>
          <w:sz w:val="24"/>
        </w:rPr>
      </w:pPr>
    </w:p>
    <w:p w14:paraId="48C21818" w14:textId="57A62798" w:rsidR="009736F4" w:rsidRDefault="009736F4" w:rsidP="00371EB5">
      <w:pPr>
        <w:pStyle w:val="mainanswerparagraph"/>
        <w:spacing w:line="240" w:lineRule="auto"/>
        <w:ind w:left="1440"/>
        <w:jc w:val="left"/>
        <w:rPr>
          <w:rFonts w:ascii="Times New Roman" w:hAnsi="Times New Roman"/>
          <w:sz w:val="24"/>
        </w:rPr>
      </w:pPr>
      <w:r>
        <w:rPr>
          <w:rFonts w:ascii="Times New Roman" w:hAnsi="Times New Roman"/>
          <w:sz w:val="24"/>
        </w:rPr>
        <w:t>a.</w:t>
      </w:r>
      <w:r>
        <w:rPr>
          <w:rFonts w:ascii="Times New Roman" w:hAnsi="Times New Roman"/>
          <w:sz w:val="24"/>
        </w:rPr>
        <w:tab/>
      </w:r>
      <w:r w:rsidR="003347F8">
        <w:rPr>
          <w:rFonts w:ascii="Times New Roman" w:hAnsi="Times New Roman"/>
          <w:sz w:val="24"/>
        </w:rPr>
        <w:t>Section</w:t>
      </w:r>
      <w:r w:rsidRPr="009736F4">
        <w:rPr>
          <w:rFonts w:ascii="Times New Roman" w:hAnsi="Times New Roman"/>
          <w:sz w:val="24"/>
        </w:rPr>
        <w:t xml:space="preserve"> 199A (Qualified Business Income</w:t>
      </w:r>
      <w:r w:rsidR="003347F8">
        <w:rPr>
          <w:rFonts w:ascii="Times New Roman" w:hAnsi="Times New Roman"/>
          <w:sz w:val="24"/>
        </w:rPr>
        <w:t>; QBI</w:t>
      </w:r>
      <w:r w:rsidRPr="009736F4">
        <w:rPr>
          <w:rFonts w:ascii="Times New Roman" w:hAnsi="Times New Roman"/>
          <w:sz w:val="24"/>
        </w:rPr>
        <w:t>) was added to the</w:t>
      </w:r>
      <w:r>
        <w:rPr>
          <w:rFonts w:ascii="Times New Roman" w:hAnsi="Times New Roman"/>
          <w:sz w:val="24"/>
        </w:rPr>
        <w:t xml:space="preserve"> </w:t>
      </w:r>
      <w:r w:rsidRPr="009736F4">
        <w:rPr>
          <w:rFonts w:ascii="Times New Roman" w:hAnsi="Times New Roman"/>
          <w:sz w:val="24"/>
        </w:rPr>
        <w:t>Internal Revenue Code</w:t>
      </w:r>
      <w:r w:rsidR="003347F8">
        <w:rPr>
          <w:rFonts w:ascii="Times New Roman" w:hAnsi="Times New Roman"/>
          <w:sz w:val="24"/>
        </w:rPr>
        <w:t>.</w:t>
      </w:r>
      <w:r w:rsidRPr="009736F4">
        <w:rPr>
          <w:rFonts w:ascii="Times New Roman" w:hAnsi="Times New Roman"/>
          <w:sz w:val="24"/>
        </w:rPr>
        <w:t xml:space="preserve"> </w:t>
      </w:r>
      <w:r w:rsidR="003347F8">
        <w:rPr>
          <w:rFonts w:ascii="Times New Roman" w:hAnsi="Times New Roman"/>
          <w:sz w:val="24"/>
        </w:rPr>
        <w:t xml:space="preserve">The QBI deduction </w:t>
      </w:r>
      <w:r w:rsidRPr="009736F4">
        <w:rPr>
          <w:rFonts w:ascii="Times New Roman" w:hAnsi="Times New Roman"/>
          <w:sz w:val="24"/>
        </w:rPr>
        <w:t>allow</w:t>
      </w:r>
      <w:r w:rsidR="003347F8">
        <w:rPr>
          <w:rFonts w:ascii="Times New Roman" w:hAnsi="Times New Roman"/>
          <w:sz w:val="24"/>
        </w:rPr>
        <w:t>s</w:t>
      </w:r>
      <w:r w:rsidRPr="009736F4">
        <w:rPr>
          <w:rFonts w:ascii="Times New Roman" w:hAnsi="Times New Roman"/>
          <w:sz w:val="24"/>
        </w:rPr>
        <w:t xml:space="preserve"> up to a 20</w:t>
      </w:r>
      <w:r>
        <w:rPr>
          <w:rFonts w:ascii="Times New Roman" w:hAnsi="Times New Roman"/>
          <w:sz w:val="24"/>
        </w:rPr>
        <w:t>%</w:t>
      </w:r>
      <w:r w:rsidRPr="009736F4">
        <w:rPr>
          <w:rFonts w:ascii="Times New Roman" w:hAnsi="Times New Roman"/>
          <w:sz w:val="24"/>
        </w:rPr>
        <w:t xml:space="preserve"> deduction on the qualified business</w:t>
      </w:r>
      <w:r>
        <w:rPr>
          <w:rFonts w:ascii="Times New Roman" w:hAnsi="Times New Roman"/>
          <w:sz w:val="24"/>
        </w:rPr>
        <w:t xml:space="preserve"> </w:t>
      </w:r>
      <w:r w:rsidRPr="009736F4">
        <w:rPr>
          <w:rFonts w:ascii="Times New Roman" w:hAnsi="Times New Roman"/>
          <w:sz w:val="24"/>
        </w:rPr>
        <w:t>income of noncorporate taxpayers.</w:t>
      </w:r>
    </w:p>
    <w:p w14:paraId="47ADA6D3" w14:textId="16653C05" w:rsidR="009736F4" w:rsidRDefault="009736F4" w:rsidP="00371EB5">
      <w:pPr>
        <w:pStyle w:val="mainanswerparagraph"/>
        <w:spacing w:line="240" w:lineRule="auto"/>
        <w:ind w:left="1440"/>
        <w:jc w:val="left"/>
        <w:rPr>
          <w:rFonts w:ascii="Times New Roman" w:hAnsi="Times New Roman"/>
          <w:sz w:val="24"/>
        </w:rPr>
      </w:pPr>
    </w:p>
    <w:p w14:paraId="44BC46DC" w14:textId="1C49D427" w:rsidR="009736F4" w:rsidRDefault="009736F4" w:rsidP="00371EB5">
      <w:pPr>
        <w:pStyle w:val="mainanswerparagraph"/>
        <w:spacing w:line="240" w:lineRule="auto"/>
        <w:ind w:left="1440"/>
        <w:jc w:val="left"/>
        <w:rPr>
          <w:rFonts w:ascii="Times New Roman" w:hAnsi="Times New Roman"/>
          <w:sz w:val="24"/>
        </w:rPr>
      </w:pPr>
      <w:r>
        <w:rPr>
          <w:rFonts w:ascii="Times New Roman" w:hAnsi="Times New Roman"/>
          <w:sz w:val="24"/>
        </w:rPr>
        <w:t>b.</w:t>
      </w:r>
      <w:r>
        <w:rPr>
          <w:rFonts w:ascii="Times New Roman" w:hAnsi="Times New Roman"/>
          <w:sz w:val="24"/>
        </w:rPr>
        <w:tab/>
      </w:r>
      <w:r w:rsidRPr="009736F4">
        <w:rPr>
          <w:rFonts w:ascii="Times New Roman" w:hAnsi="Times New Roman"/>
          <w:sz w:val="24"/>
        </w:rPr>
        <w:t xml:space="preserve">As with most of the </w:t>
      </w:r>
      <w:r w:rsidR="003347F8">
        <w:rPr>
          <w:rFonts w:ascii="Times New Roman" w:hAnsi="Times New Roman"/>
          <w:sz w:val="24"/>
        </w:rPr>
        <w:t xml:space="preserve">noncorporate </w:t>
      </w:r>
      <w:r w:rsidRPr="009736F4">
        <w:rPr>
          <w:rFonts w:ascii="Times New Roman" w:hAnsi="Times New Roman"/>
          <w:sz w:val="24"/>
        </w:rPr>
        <w:t>changes made by the TCJA of 2017, the deduction</w:t>
      </w:r>
      <w:r>
        <w:rPr>
          <w:rFonts w:ascii="Times New Roman" w:hAnsi="Times New Roman"/>
          <w:sz w:val="24"/>
        </w:rPr>
        <w:t xml:space="preserve"> </w:t>
      </w:r>
      <w:r w:rsidRPr="009736F4">
        <w:rPr>
          <w:rFonts w:ascii="Times New Roman" w:hAnsi="Times New Roman"/>
          <w:sz w:val="24"/>
        </w:rPr>
        <w:t>for qualified business income is temporary; it is in effect from 2018 through 2025</w:t>
      </w:r>
      <w:r>
        <w:rPr>
          <w:rFonts w:ascii="Times New Roman" w:hAnsi="Times New Roman"/>
          <w:sz w:val="24"/>
        </w:rPr>
        <w:t>.</w:t>
      </w:r>
    </w:p>
    <w:p w14:paraId="5522C3F2" w14:textId="535F0E04" w:rsidR="009736F4" w:rsidRDefault="009736F4" w:rsidP="00371EB5">
      <w:pPr>
        <w:pStyle w:val="mainanswerparagraph"/>
        <w:spacing w:line="240" w:lineRule="auto"/>
        <w:jc w:val="left"/>
        <w:rPr>
          <w:rFonts w:ascii="Times New Roman" w:hAnsi="Times New Roman"/>
          <w:sz w:val="24"/>
        </w:rPr>
      </w:pPr>
    </w:p>
    <w:p w14:paraId="00A9851A" w14:textId="575C9F27" w:rsidR="009736F4" w:rsidRDefault="009736F4" w:rsidP="00371EB5">
      <w:pPr>
        <w:pStyle w:val="mainanswerparagraph"/>
        <w:spacing w:line="240" w:lineRule="auto"/>
        <w:jc w:val="left"/>
        <w:rPr>
          <w:rFonts w:ascii="Times New Roman" w:hAnsi="Times New Roman"/>
          <w:sz w:val="24"/>
        </w:rPr>
      </w:pPr>
      <w:r>
        <w:rPr>
          <w:rFonts w:ascii="Times New Roman" w:hAnsi="Times New Roman"/>
          <w:sz w:val="24"/>
        </w:rPr>
        <w:t>2</w:t>
      </w:r>
      <w:r w:rsidR="000A0089">
        <w:rPr>
          <w:rFonts w:ascii="Times New Roman" w:hAnsi="Times New Roman"/>
          <w:sz w:val="24"/>
        </w:rPr>
        <w:t>5</w:t>
      </w:r>
      <w:r>
        <w:rPr>
          <w:rFonts w:ascii="Times New Roman" w:hAnsi="Times New Roman"/>
          <w:sz w:val="24"/>
        </w:rPr>
        <w:t>.</w:t>
      </w:r>
      <w:r>
        <w:rPr>
          <w:rFonts w:ascii="Times New Roman" w:hAnsi="Times New Roman"/>
          <w:sz w:val="24"/>
        </w:rPr>
        <w:tab/>
        <w:t>T</w:t>
      </w:r>
      <w:r w:rsidRPr="009736F4">
        <w:rPr>
          <w:rFonts w:ascii="Times New Roman" w:hAnsi="Times New Roman"/>
          <w:sz w:val="24"/>
        </w:rPr>
        <w:t>he purpose of the deduction</w:t>
      </w:r>
      <w:r>
        <w:rPr>
          <w:rFonts w:ascii="Times New Roman" w:hAnsi="Times New Roman"/>
          <w:sz w:val="24"/>
        </w:rPr>
        <w:t xml:space="preserve"> is </w:t>
      </w:r>
      <w:r w:rsidRPr="009736F4">
        <w:rPr>
          <w:rFonts w:ascii="Times New Roman" w:hAnsi="Times New Roman"/>
          <w:sz w:val="24"/>
        </w:rPr>
        <w:t>to</w:t>
      </w:r>
      <w:r>
        <w:rPr>
          <w:rFonts w:ascii="Times New Roman" w:hAnsi="Times New Roman"/>
          <w:sz w:val="24"/>
        </w:rPr>
        <w:t xml:space="preserve"> </w:t>
      </w:r>
      <w:r w:rsidRPr="009736F4">
        <w:rPr>
          <w:rFonts w:ascii="Times New Roman" w:hAnsi="Times New Roman"/>
          <w:sz w:val="24"/>
        </w:rPr>
        <w:t>reduce the tax on business income derived outside of the C corporate form</w:t>
      </w:r>
      <w:r>
        <w:rPr>
          <w:rFonts w:ascii="Times New Roman" w:hAnsi="Times New Roman"/>
          <w:sz w:val="24"/>
        </w:rPr>
        <w:t>.</w:t>
      </w:r>
    </w:p>
    <w:p w14:paraId="0CDBCF59" w14:textId="77777777" w:rsidR="00637731" w:rsidRPr="00637731" w:rsidRDefault="00637731" w:rsidP="008C0F15">
      <w:pPr>
        <w:pStyle w:val="mainanswerparagraph"/>
        <w:tabs>
          <w:tab w:val="clear" w:pos="720"/>
        </w:tabs>
        <w:spacing w:line="240" w:lineRule="auto"/>
        <w:ind w:left="0" w:firstLine="0"/>
        <w:jc w:val="left"/>
        <w:rPr>
          <w:rFonts w:ascii="Times New Roman" w:hAnsi="Times New Roman"/>
          <w:sz w:val="24"/>
        </w:rPr>
      </w:pPr>
    </w:p>
    <w:p w14:paraId="78292842" w14:textId="77777777" w:rsidR="002934C9" w:rsidRPr="00E76FAD" w:rsidRDefault="002934C9" w:rsidP="00E76FAD">
      <w:pPr>
        <w:pStyle w:val="mainanswerparagraph"/>
        <w:tabs>
          <w:tab w:val="clear" w:pos="720"/>
        </w:tabs>
        <w:spacing w:line="240" w:lineRule="auto"/>
        <w:ind w:left="0" w:firstLine="0"/>
        <w:jc w:val="left"/>
        <w:rPr>
          <w:rFonts w:ascii="Times New Roman" w:hAnsi="Times New Roman"/>
          <w:b/>
          <w:sz w:val="24"/>
        </w:rPr>
      </w:pPr>
      <w:r w:rsidRPr="00E76FAD">
        <w:rPr>
          <w:rFonts w:ascii="Times New Roman" w:hAnsi="Times New Roman"/>
          <w:b/>
          <w:sz w:val="24"/>
        </w:rPr>
        <w:t>THE DEDUCTION FOR QUALIFIED BUSINESS INCOME</w:t>
      </w:r>
    </w:p>
    <w:p w14:paraId="5DFA6A3B" w14:textId="77777777" w:rsidR="002934C9" w:rsidRDefault="002934C9" w:rsidP="002934C9"/>
    <w:p w14:paraId="6ACA35D1" w14:textId="175283D8" w:rsidR="002934C9" w:rsidRDefault="00270D24" w:rsidP="002934C9">
      <w:pPr>
        <w:ind w:left="720" w:hanging="720"/>
      </w:pPr>
      <w:r>
        <w:t>2</w:t>
      </w:r>
      <w:r w:rsidR="000A0089">
        <w:t>6</w:t>
      </w:r>
      <w:r w:rsidR="002934C9">
        <w:t>.</w:t>
      </w:r>
      <w:r w:rsidR="002934C9">
        <w:tab/>
      </w:r>
      <w:r w:rsidR="002934C9" w:rsidRPr="00A55AD1">
        <w:t>With the reduction in the corporate income tax rate to 21</w:t>
      </w:r>
      <w:r w:rsidR="002934C9">
        <w:t>%</w:t>
      </w:r>
      <w:r w:rsidR="002934C9" w:rsidRPr="00A55AD1">
        <w:t xml:space="preserve"> in 2018, Congress</w:t>
      </w:r>
      <w:r w:rsidR="002934C9">
        <w:t xml:space="preserve"> </w:t>
      </w:r>
      <w:r w:rsidR="002934C9" w:rsidRPr="00A55AD1">
        <w:t>needed to provide a means of reducing the taxes on businesses that operate in different</w:t>
      </w:r>
      <w:r w:rsidR="002934C9">
        <w:t xml:space="preserve"> </w:t>
      </w:r>
      <w:r w:rsidR="002934C9" w:rsidRPr="00A55AD1">
        <w:t>business forms (e.g., sole proprietors, partnerships, and S corporations). Congress</w:t>
      </w:r>
      <w:r w:rsidR="002934C9">
        <w:t xml:space="preserve"> </w:t>
      </w:r>
      <w:r w:rsidR="002934C9" w:rsidRPr="00A55AD1">
        <w:t>accomplished this with the creation of the deduction for qualified business income, which applies to noncorporate taxpayers.</w:t>
      </w:r>
    </w:p>
    <w:p w14:paraId="6A7F91B4" w14:textId="77777777" w:rsidR="002934C9" w:rsidRDefault="002934C9" w:rsidP="002934C9">
      <w:pPr>
        <w:ind w:left="720" w:hanging="720"/>
      </w:pPr>
    </w:p>
    <w:p w14:paraId="3B058D1E" w14:textId="1E5DCB80" w:rsidR="002934C9" w:rsidRDefault="00270D24" w:rsidP="002934C9">
      <w:pPr>
        <w:ind w:left="720" w:hanging="720"/>
      </w:pPr>
      <w:r>
        <w:t>2</w:t>
      </w:r>
      <w:r w:rsidR="000A0089">
        <w:t>7</w:t>
      </w:r>
      <w:r w:rsidR="002934C9">
        <w:t>.</w:t>
      </w:r>
      <w:r w:rsidR="002934C9">
        <w:tab/>
        <w:t>T</w:t>
      </w:r>
      <w:r w:rsidR="002934C9" w:rsidRPr="00A55AD1">
        <w:t>he deduction for qualified business income is 20</w:t>
      </w:r>
      <w:r w:rsidR="002934C9">
        <w:t>%</w:t>
      </w:r>
      <w:r w:rsidR="002934C9" w:rsidRPr="00A55AD1">
        <w:t xml:space="preserve"> of qualified</w:t>
      </w:r>
      <w:r w:rsidR="002934C9">
        <w:t xml:space="preserve"> </w:t>
      </w:r>
      <w:r w:rsidR="002934C9" w:rsidRPr="00A55AD1">
        <w:t>business income.</w:t>
      </w:r>
    </w:p>
    <w:p w14:paraId="5F0392DC" w14:textId="77777777" w:rsidR="002934C9" w:rsidRPr="00B6731A" w:rsidRDefault="002934C9" w:rsidP="002934C9">
      <w:pPr>
        <w:ind w:left="720" w:hanging="720"/>
      </w:pPr>
    </w:p>
    <w:p w14:paraId="1E9385C5" w14:textId="77777777" w:rsidR="00A53557" w:rsidRDefault="00A53557">
      <w:pPr>
        <w:rPr>
          <w:b/>
        </w:rPr>
      </w:pPr>
      <w:r>
        <w:rPr>
          <w:b/>
        </w:rPr>
        <w:br w:type="page"/>
      </w:r>
    </w:p>
    <w:p w14:paraId="2725EF65" w14:textId="71427BC7" w:rsidR="002934C9" w:rsidRPr="00A55AD1" w:rsidRDefault="002934C9" w:rsidP="002934C9">
      <w:pPr>
        <w:rPr>
          <w:b/>
        </w:rPr>
      </w:pPr>
      <w:r w:rsidRPr="00A55AD1">
        <w:rPr>
          <w:b/>
        </w:rPr>
        <w:lastRenderedPageBreak/>
        <w:t>General Rule</w:t>
      </w:r>
    </w:p>
    <w:p w14:paraId="755DB7A0" w14:textId="77777777" w:rsidR="002934C9" w:rsidRDefault="002934C9" w:rsidP="002934C9"/>
    <w:p w14:paraId="275A6F56" w14:textId="7F768EA8" w:rsidR="002934C9" w:rsidRDefault="00270D24" w:rsidP="002934C9">
      <w:pPr>
        <w:ind w:left="720" w:hanging="720"/>
      </w:pPr>
      <w:r>
        <w:t>2</w:t>
      </w:r>
      <w:r w:rsidR="00597C61">
        <w:t>8</w:t>
      </w:r>
      <w:r w:rsidR="002934C9">
        <w:t>.</w:t>
      </w:r>
      <w:r w:rsidR="002934C9">
        <w:tab/>
      </w:r>
      <w:r w:rsidR="002934C9" w:rsidRPr="00A55AD1">
        <w:t>At its most basic level, § 199A permits an individual to deduct 20</w:t>
      </w:r>
      <w:r w:rsidR="002934C9">
        <w:t>%</w:t>
      </w:r>
      <w:r w:rsidR="002934C9" w:rsidRPr="00A55AD1">
        <w:t xml:space="preserve"> of the qualified</w:t>
      </w:r>
      <w:r w:rsidR="002934C9">
        <w:t xml:space="preserve"> </w:t>
      </w:r>
      <w:r w:rsidR="002934C9" w:rsidRPr="00A55AD1">
        <w:t>business income generated through a sole proprietorship, a partnership, or an</w:t>
      </w:r>
      <w:r w:rsidR="002934C9">
        <w:t xml:space="preserve"> </w:t>
      </w:r>
      <w:r w:rsidR="002934C9" w:rsidRPr="00A55AD1">
        <w:t>S</w:t>
      </w:r>
      <w:r w:rsidR="008D19D4">
        <w:t> </w:t>
      </w:r>
      <w:r w:rsidR="002934C9" w:rsidRPr="00A55AD1">
        <w:t>corporation.</w:t>
      </w:r>
    </w:p>
    <w:p w14:paraId="536DF39C" w14:textId="77777777" w:rsidR="002934C9" w:rsidRDefault="002934C9" w:rsidP="002934C9">
      <w:pPr>
        <w:ind w:left="720" w:hanging="720"/>
      </w:pPr>
    </w:p>
    <w:p w14:paraId="3C277872" w14:textId="4BDF1CC9" w:rsidR="002934C9" w:rsidRDefault="00597C61" w:rsidP="00371EB5">
      <w:r>
        <w:t>29</w:t>
      </w:r>
      <w:r w:rsidR="002934C9">
        <w:t>.</w:t>
      </w:r>
      <w:r w:rsidR="002934C9">
        <w:tab/>
      </w:r>
      <w:r w:rsidR="002934C9" w:rsidRPr="00A55AD1">
        <w:t>In general, the deduction</w:t>
      </w:r>
      <w:r w:rsidR="002934C9">
        <w:t xml:space="preserve"> </w:t>
      </w:r>
      <w:r w:rsidR="002934C9" w:rsidRPr="00A55AD1">
        <w:t>for qualified business income is the lesser of:</w:t>
      </w:r>
    </w:p>
    <w:p w14:paraId="51447FE9" w14:textId="77777777" w:rsidR="002934C9" w:rsidRPr="00A55AD1" w:rsidRDefault="002934C9" w:rsidP="002934C9">
      <w:pPr>
        <w:ind w:left="720" w:hanging="720"/>
      </w:pPr>
    </w:p>
    <w:p w14:paraId="4BEBE6F5" w14:textId="77777777" w:rsidR="002934C9" w:rsidRPr="00A55AD1" w:rsidRDefault="002934C9" w:rsidP="002934C9">
      <w:pPr>
        <w:ind w:left="1440" w:hanging="720"/>
      </w:pPr>
      <w:r>
        <w:t>a.</w:t>
      </w:r>
      <w:r>
        <w:tab/>
      </w:r>
      <w:r w:rsidRPr="00A55AD1">
        <w:t>20</w:t>
      </w:r>
      <w:r>
        <w:t>%</w:t>
      </w:r>
      <w:r w:rsidRPr="00A55AD1">
        <w:t xml:space="preserve"> of qualified business income (QBI), or</w:t>
      </w:r>
    </w:p>
    <w:p w14:paraId="340832A0" w14:textId="77777777" w:rsidR="002934C9" w:rsidRDefault="002934C9" w:rsidP="002934C9">
      <w:pPr>
        <w:ind w:left="1440" w:hanging="720"/>
      </w:pPr>
    </w:p>
    <w:p w14:paraId="398AF400" w14:textId="77777777" w:rsidR="002934C9" w:rsidRDefault="002934C9" w:rsidP="002934C9">
      <w:pPr>
        <w:ind w:left="1440" w:hanging="720"/>
      </w:pPr>
      <w:r>
        <w:t>b</w:t>
      </w:r>
      <w:r w:rsidRPr="00A55AD1">
        <w:t>.</w:t>
      </w:r>
      <w:r>
        <w:tab/>
      </w:r>
      <w:r w:rsidRPr="00A55AD1">
        <w:t>20</w:t>
      </w:r>
      <w:r>
        <w:t>%</w:t>
      </w:r>
      <w:r w:rsidRPr="00A55AD1">
        <w:t xml:space="preserve"> of modified taxable income.</w:t>
      </w:r>
    </w:p>
    <w:p w14:paraId="22BF6F9B" w14:textId="77777777" w:rsidR="002934C9" w:rsidRDefault="002934C9" w:rsidP="002934C9">
      <w:pPr>
        <w:ind w:left="1440" w:hanging="720"/>
      </w:pPr>
    </w:p>
    <w:p w14:paraId="25294B5A" w14:textId="49603664" w:rsidR="002934C9" w:rsidRDefault="00270D24" w:rsidP="002934C9">
      <w:pPr>
        <w:ind w:left="720" w:hanging="720"/>
      </w:pPr>
      <w:r>
        <w:t>3</w:t>
      </w:r>
      <w:r w:rsidR="00597C61">
        <w:t>0</w:t>
      </w:r>
      <w:r w:rsidR="002934C9">
        <w:t>.</w:t>
      </w:r>
      <w:r w:rsidR="002934C9">
        <w:tab/>
      </w:r>
      <w:r w:rsidR="002934C9" w:rsidRPr="00A55AD1">
        <w:t>There are three limitations on the QBI deduction: an overall limitation (based on</w:t>
      </w:r>
      <w:r w:rsidR="002934C9">
        <w:t xml:space="preserve"> </w:t>
      </w:r>
      <w:r w:rsidR="002934C9" w:rsidRPr="00A55AD1">
        <w:t>modified taxable income), another that applies to high-income taxpayers, and a third</w:t>
      </w:r>
      <w:r w:rsidR="002934C9">
        <w:t xml:space="preserve"> </w:t>
      </w:r>
      <w:r w:rsidR="002934C9" w:rsidRPr="00A55AD1">
        <w:t>that applies to certain types of services businesses.</w:t>
      </w:r>
    </w:p>
    <w:p w14:paraId="3C3C7E75" w14:textId="77777777" w:rsidR="002934C9" w:rsidRPr="005D7214" w:rsidRDefault="002934C9" w:rsidP="002934C9">
      <w:pPr>
        <w:ind w:left="720" w:hanging="720"/>
      </w:pPr>
    </w:p>
    <w:p w14:paraId="77CC2245" w14:textId="77777777" w:rsidR="002934C9" w:rsidRDefault="002934C9" w:rsidP="002934C9">
      <w:pPr>
        <w:rPr>
          <w:b/>
        </w:rPr>
      </w:pPr>
      <w:r w:rsidRPr="00A55AD1">
        <w:rPr>
          <w:b/>
        </w:rPr>
        <w:t>The Overall Limitation: Modified Taxable Income</w:t>
      </w:r>
    </w:p>
    <w:p w14:paraId="6D4BB41D" w14:textId="77777777" w:rsidR="002934C9" w:rsidRDefault="002934C9" w:rsidP="002934C9"/>
    <w:p w14:paraId="0C49B0E7" w14:textId="0B137F56" w:rsidR="002934C9" w:rsidRDefault="00270D24" w:rsidP="002934C9">
      <w:pPr>
        <w:ind w:left="720" w:hanging="720"/>
      </w:pPr>
      <w:r>
        <w:t>3</w:t>
      </w:r>
      <w:r w:rsidR="00597C61">
        <w:t>1</w:t>
      </w:r>
      <w:r w:rsidR="002934C9">
        <w:t>.</w:t>
      </w:r>
      <w:r w:rsidR="002934C9">
        <w:tab/>
      </w:r>
      <w:r w:rsidR="002934C9" w:rsidRPr="00A55AD1">
        <w:t>In all cases, the § 199A deduction may not exceed 20</w:t>
      </w:r>
      <w:r w:rsidR="002934C9">
        <w:t>%</w:t>
      </w:r>
      <w:r w:rsidR="002934C9" w:rsidRPr="00A55AD1">
        <w:t xml:space="preserve"> of the taxpayer’s modified</w:t>
      </w:r>
      <w:r w:rsidR="002934C9">
        <w:t xml:space="preserve"> </w:t>
      </w:r>
      <w:r w:rsidR="002934C9" w:rsidRPr="00A55AD1">
        <w:t xml:space="preserve">taxable income. </w:t>
      </w:r>
    </w:p>
    <w:p w14:paraId="021444D8" w14:textId="77777777" w:rsidR="002934C9" w:rsidRDefault="002934C9" w:rsidP="002934C9">
      <w:pPr>
        <w:ind w:left="720" w:hanging="720"/>
      </w:pPr>
    </w:p>
    <w:p w14:paraId="5EA1CB6A" w14:textId="0608B407" w:rsidR="002934C9" w:rsidRDefault="00270D24" w:rsidP="002934C9">
      <w:pPr>
        <w:ind w:left="720" w:hanging="720"/>
      </w:pPr>
      <w:r>
        <w:t>3</w:t>
      </w:r>
      <w:r w:rsidR="00597C61">
        <w:t>2</w:t>
      </w:r>
      <w:r w:rsidR="002934C9">
        <w:t>.</w:t>
      </w:r>
      <w:r w:rsidR="002934C9">
        <w:tab/>
      </w:r>
      <w:r w:rsidR="002934C9" w:rsidRPr="00A55AD1">
        <w:t xml:space="preserve">Modified taxable income is taxable income </w:t>
      </w:r>
      <w:r w:rsidR="002934C9" w:rsidRPr="00723D23">
        <w:rPr>
          <w:i/>
        </w:rPr>
        <w:t>before</w:t>
      </w:r>
      <w:r w:rsidR="002934C9" w:rsidRPr="00A55AD1">
        <w:t xml:space="preserve"> the deduction for</w:t>
      </w:r>
      <w:r w:rsidR="002934C9">
        <w:t xml:space="preserve"> </w:t>
      </w:r>
      <w:r w:rsidR="002934C9" w:rsidRPr="00A55AD1">
        <w:t xml:space="preserve">qualified </w:t>
      </w:r>
      <w:r w:rsidR="002934C9">
        <w:t>business income,</w:t>
      </w:r>
      <w:r w:rsidR="002934C9" w:rsidRPr="00A55AD1">
        <w:t xml:space="preserve"> reduced by any net capital gain.</w:t>
      </w:r>
    </w:p>
    <w:p w14:paraId="00057D27" w14:textId="77777777" w:rsidR="002934C9" w:rsidRPr="005D7214" w:rsidRDefault="002934C9" w:rsidP="002934C9">
      <w:pPr>
        <w:ind w:left="720" w:hanging="720"/>
      </w:pPr>
    </w:p>
    <w:p w14:paraId="6D9EEAE7" w14:textId="7B8DA02A" w:rsidR="002934C9" w:rsidRDefault="00E76FAD" w:rsidP="002934C9">
      <w:pPr>
        <w:rPr>
          <w:b/>
        </w:rPr>
      </w:pPr>
      <w:r>
        <w:rPr>
          <w:b/>
        </w:rPr>
        <w:t>Definition of</w:t>
      </w:r>
      <w:r w:rsidR="002934C9" w:rsidRPr="00A55AD1">
        <w:rPr>
          <w:b/>
        </w:rPr>
        <w:t xml:space="preserve"> Qualified Business Income</w:t>
      </w:r>
    </w:p>
    <w:p w14:paraId="04A6806E" w14:textId="77777777" w:rsidR="002934C9" w:rsidRDefault="002934C9" w:rsidP="002934C9">
      <w:pPr>
        <w:rPr>
          <w:b/>
        </w:rPr>
      </w:pPr>
    </w:p>
    <w:p w14:paraId="0299BB94" w14:textId="4061AE51" w:rsidR="002934C9" w:rsidRDefault="00270D24" w:rsidP="002934C9">
      <w:pPr>
        <w:ind w:left="720" w:hanging="720"/>
      </w:pPr>
      <w:r>
        <w:t>3</w:t>
      </w:r>
      <w:r w:rsidR="00597C61">
        <w:t>3</w:t>
      </w:r>
      <w:r w:rsidR="002934C9">
        <w:t>.</w:t>
      </w:r>
      <w:r w:rsidR="002934C9">
        <w:tab/>
        <w:t>Qualified business income</w:t>
      </w:r>
      <w:r w:rsidR="002934C9" w:rsidRPr="00A55AD1">
        <w:t xml:space="preserve"> is defined as the ordinary income less ordinary deductions</w:t>
      </w:r>
      <w:r w:rsidR="002934C9">
        <w:t xml:space="preserve"> </w:t>
      </w:r>
      <w:r w:rsidR="002934C9" w:rsidRPr="00A55AD1">
        <w:t>a taxpayer earns from a “qualified trade or business” conducted in the United States</w:t>
      </w:r>
      <w:r w:rsidR="002934C9">
        <w:t xml:space="preserve"> </w:t>
      </w:r>
      <w:r w:rsidR="002934C9" w:rsidRPr="00A55AD1">
        <w:t>by the taxpayer (e.g., from a sole proprietorship).</w:t>
      </w:r>
    </w:p>
    <w:p w14:paraId="5EBDD868" w14:textId="77777777" w:rsidR="002934C9" w:rsidRDefault="002934C9" w:rsidP="002934C9">
      <w:pPr>
        <w:ind w:left="720" w:hanging="720"/>
      </w:pPr>
    </w:p>
    <w:p w14:paraId="3423FE1A" w14:textId="6F2BC6A6" w:rsidR="002934C9" w:rsidRPr="00A55AD1" w:rsidRDefault="00270D24" w:rsidP="002934C9">
      <w:pPr>
        <w:ind w:left="720" w:hanging="720"/>
      </w:pPr>
      <w:r>
        <w:t>3</w:t>
      </w:r>
      <w:r w:rsidR="00597C61">
        <w:t>4</w:t>
      </w:r>
      <w:r w:rsidR="002934C9">
        <w:t>.</w:t>
      </w:r>
      <w:r w:rsidR="002934C9">
        <w:tab/>
      </w:r>
      <w:r w:rsidR="002934C9" w:rsidRPr="00A55AD1">
        <w:t>Qualified business income does not include certain types of investment income,</w:t>
      </w:r>
      <w:r w:rsidR="002934C9">
        <w:t xml:space="preserve"> such as:</w:t>
      </w:r>
    </w:p>
    <w:p w14:paraId="63D800A3" w14:textId="1D81DE08" w:rsidR="002934C9" w:rsidRPr="005D7214" w:rsidRDefault="002934C9" w:rsidP="00723D23">
      <w:pPr>
        <w:pStyle w:val="ListParagraph"/>
        <w:numPr>
          <w:ilvl w:val="1"/>
          <w:numId w:val="48"/>
        </w:numPr>
        <w:ind w:left="1440" w:hanging="720"/>
        <w:contextualSpacing/>
      </w:pPr>
      <w:r w:rsidRPr="005D7214">
        <w:t>Capital gains or capital losses</w:t>
      </w:r>
      <w:r w:rsidR="00597C61">
        <w:t xml:space="preserve"> (including any net § 1231 gain included in capital gain and loss computations)</w:t>
      </w:r>
      <w:r w:rsidR="00ED1F3D">
        <w:t>.</w:t>
      </w:r>
    </w:p>
    <w:p w14:paraId="709D5B35" w14:textId="5EDEF5FD" w:rsidR="002934C9" w:rsidRPr="005D7214" w:rsidRDefault="002934C9" w:rsidP="002934C9">
      <w:pPr>
        <w:pStyle w:val="ListParagraph"/>
        <w:numPr>
          <w:ilvl w:val="1"/>
          <w:numId w:val="48"/>
        </w:numPr>
        <w:ind w:left="1440" w:hanging="720"/>
        <w:contextualSpacing/>
      </w:pPr>
      <w:r w:rsidRPr="005D7214">
        <w:t>Dividends</w:t>
      </w:r>
      <w:r w:rsidR="00ED1F3D">
        <w:t>.</w:t>
      </w:r>
    </w:p>
    <w:p w14:paraId="5FC0F2F8" w14:textId="2A8FC31A" w:rsidR="002934C9" w:rsidRPr="005D7214" w:rsidRDefault="002934C9" w:rsidP="002934C9">
      <w:pPr>
        <w:pStyle w:val="ListParagraph"/>
        <w:numPr>
          <w:ilvl w:val="1"/>
          <w:numId w:val="48"/>
        </w:numPr>
        <w:ind w:left="1440" w:hanging="720"/>
        <w:contextualSpacing/>
      </w:pPr>
      <w:r w:rsidRPr="005D7214">
        <w:t>Interest income (unless “properly al</w:t>
      </w:r>
      <w:r w:rsidRPr="00A74632">
        <w:t>locable” to a trade or business</w:t>
      </w:r>
      <w:r w:rsidRPr="005D7214">
        <w:t>)</w:t>
      </w:r>
      <w:r w:rsidR="00ED1F3D">
        <w:t>.</w:t>
      </w:r>
    </w:p>
    <w:p w14:paraId="0835F188" w14:textId="683C8E44" w:rsidR="002934C9" w:rsidRDefault="002934C9" w:rsidP="002934C9">
      <w:pPr>
        <w:pStyle w:val="ListParagraph"/>
        <w:numPr>
          <w:ilvl w:val="1"/>
          <w:numId w:val="48"/>
        </w:numPr>
        <w:ind w:left="1440" w:hanging="720"/>
        <w:contextualSpacing/>
      </w:pPr>
      <w:r w:rsidRPr="005D7214">
        <w:t>Certain other investment items</w:t>
      </w:r>
      <w:r w:rsidR="00ED1F3D">
        <w:t>.</w:t>
      </w:r>
    </w:p>
    <w:p w14:paraId="762AAE07" w14:textId="1C7D705D" w:rsidR="00ED1F3D" w:rsidRDefault="00ED1F3D" w:rsidP="00ED1F3D">
      <w:pPr>
        <w:contextualSpacing/>
      </w:pPr>
    </w:p>
    <w:p w14:paraId="134C59C8" w14:textId="23429817" w:rsidR="00ED1F3D" w:rsidRDefault="00ED1F3D" w:rsidP="00371EB5">
      <w:pPr>
        <w:ind w:firstLine="720"/>
        <w:contextualSpacing/>
      </w:pPr>
      <w:r>
        <w:t>Nor does qualified business income include:</w:t>
      </w:r>
    </w:p>
    <w:p w14:paraId="187FB54B" w14:textId="4CD16673" w:rsidR="002934C9" w:rsidRPr="00A74632" w:rsidRDefault="002934C9" w:rsidP="002934C9">
      <w:pPr>
        <w:pStyle w:val="ListParagraph"/>
        <w:numPr>
          <w:ilvl w:val="1"/>
          <w:numId w:val="48"/>
        </w:numPr>
        <w:ind w:left="1440" w:hanging="720"/>
        <w:contextualSpacing/>
      </w:pPr>
      <w:r w:rsidRPr="00A74632">
        <w:t>The “reasonable compensation” paid to the taxpayer with respect to any qualified trade or business</w:t>
      </w:r>
      <w:r w:rsidR="00ED1F3D">
        <w:t>.</w:t>
      </w:r>
    </w:p>
    <w:p w14:paraId="765AAB46" w14:textId="1854172E" w:rsidR="002934C9" w:rsidRDefault="002934C9" w:rsidP="002934C9">
      <w:pPr>
        <w:pStyle w:val="ListParagraph"/>
        <w:numPr>
          <w:ilvl w:val="1"/>
          <w:numId w:val="48"/>
        </w:numPr>
        <w:ind w:left="1440" w:hanging="720"/>
        <w:contextualSpacing/>
      </w:pPr>
      <w:r w:rsidRPr="00A74632">
        <w:t>Guaranteed payments made to a partner for services rendered</w:t>
      </w:r>
      <w:r w:rsidR="00ED1F3D">
        <w:t>.</w:t>
      </w:r>
    </w:p>
    <w:p w14:paraId="0F69A301" w14:textId="77777777" w:rsidR="002934C9" w:rsidRDefault="002934C9" w:rsidP="002934C9"/>
    <w:p w14:paraId="629F1987" w14:textId="15376C96" w:rsidR="002934C9" w:rsidRDefault="00270D24" w:rsidP="00597C61">
      <w:pPr>
        <w:ind w:left="720" w:hanging="720"/>
      </w:pPr>
      <w:r>
        <w:t>3</w:t>
      </w:r>
      <w:r w:rsidR="00597C61">
        <w:t>5</w:t>
      </w:r>
      <w:r w:rsidR="002934C9">
        <w:t>.</w:t>
      </w:r>
      <w:r w:rsidR="002934C9">
        <w:tab/>
      </w:r>
      <w:r w:rsidR="00597C61">
        <w:t xml:space="preserve">The § 199A Regulations indicate that a net § 1231 gain for a taxable year that is treated as a long-term capital gain is </w:t>
      </w:r>
      <w:r w:rsidR="00597C61" w:rsidRPr="00723D23">
        <w:rPr>
          <w:i/>
        </w:rPr>
        <w:t>excluded</w:t>
      </w:r>
      <w:r w:rsidR="00597C61">
        <w:t xml:space="preserve"> from the computation of qualified business income. The Regulations also note that if the result of § 1231 netting is a </w:t>
      </w:r>
      <w:r w:rsidR="00597C61" w:rsidRPr="00723D23">
        <w:rPr>
          <w:i/>
        </w:rPr>
        <w:t>loss</w:t>
      </w:r>
      <w:r w:rsidR="00597C61">
        <w:t xml:space="preserve">, the ordinary loss will </w:t>
      </w:r>
      <w:r w:rsidR="00597C61" w:rsidRPr="00723D23">
        <w:rPr>
          <w:i/>
        </w:rPr>
        <w:t>reduce</w:t>
      </w:r>
      <w:r w:rsidR="00597C61">
        <w:t xml:space="preserve"> qualified business income for that year. The Regulations are </w:t>
      </w:r>
      <w:r w:rsidR="00597C61">
        <w:lastRenderedPageBreak/>
        <w:t xml:space="preserve">silent regarding what to do if there are multiple qualified trades or businesses and each </w:t>
      </w:r>
      <w:r w:rsidR="009903C2">
        <w:t xml:space="preserve">has </w:t>
      </w:r>
      <w:r w:rsidR="00597C61">
        <w:t>§ 1231 gains and losses</w:t>
      </w:r>
      <w:r w:rsidR="002934C9" w:rsidRPr="00EC2526">
        <w:t>.</w:t>
      </w:r>
    </w:p>
    <w:p w14:paraId="0CA34AC7" w14:textId="77777777" w:rsidR="002934C9" w:rsidRPr="005D7214" w:rsidRDefault="002934C9" w:rsidP="002934C9">
      <w:pPr>
        <w:ind w:left="720" w:hanging="720"/>
      </w:pPr>
    </w:p>
    <w:p w14:paraId="6F787BFF" w14:textId="07FD5059" w:rsidR="002934C9" w:rsidRDefault="00E76FAD" w:rsidP="002934C9">
      <w:pPr>
        <w:rPr>
          <w:b/>
        </w:rPr>
      </w:pPr>
      <w:r>
        <w:rPr>
          <w:b/>
        </w:rPr>
        <w:t>Definition of</w:t>
      </w:r>
      <w:r w:rsidR="002934C9" w:rsidRPr="00A55AD1">
        <w:rPr>
          <w:b/>
        </w:rPr>
        <w:t xml:space="preserve"> </w:t>
      </w:r>
      <w:r w:rsidR="00ED1F3D">
        <w:rPr>
          <w:b/>
        </w:rPr>
        <w:t xml:space="preserve">a </w:t>
      </w:r>
      <w:r w:rsidR="002934C9" w:rsidRPr="00A55AD1">
        <w:rPr>
          <w:b/>
        </w:rPr>
        <w:t>Qualified Trade or Business</w:t>
      </w:r>
    </w:p>
    <w:p w14:paraId="7C39DF51" w14:textId="77777777" w:rsidR="002934C9" w:rsidRDefault="002934C9" w:rsidP="002934C9">
      <w:pPr>
        <w:rPr>
          <w:b/>
        </w:rPr>
      </w:pPr>
    </w:p>
    <w:p w14:paraId="53392607" w14:textId="22CC2104" w:rsidR="002934C9" w:rsidRDefault="00270D24" w:rsidP="002934C9">
      <w:pPr>
        <w:ind w:left="720" w:hanging="720"/>
      </w:pPr>
      <w:r>
        <w:t>3</w:t>
      </w:r>
      <w:r w:rsidR="00D7278E">
        <w:t>6</w:t>
      </w:r>
      <w:r w:rsidR="002934C9">
        <w:t>.</w:t>
      </w:r>
      <w:r w:rsidR="002934C9">
        <w:tab/>
      </w:r>
      <w:r w:rsidR="002934C9" w:rsidRPr="00EC2526">
        <w:t>For taxpayers who fall below critical taxable income thresholds established under</w:t>
      </w:r>
      <w:r w:rsidR="002934C9">
        <w:t xml:space="preserve"> </w:t>
      </w:r>
      <w:r w:rsidR="002934C9" w:rsidRPr="00EC2526">
        <w:t>§</w:t>
      </w:r>
      <w:r w:rsidR="00723D23">
        <w:t> </w:t>
      </w:r>
      <w:r w:rsidR="002934C9" w:rsidRPr="00EC2526">
        <w:t>199A (</w:t>
      </w:r>
      <w:r w:rsidR="005A70D6">
        <w:t>i</w:t>
      </w:r>
      <w:r w:rsidR="00D7278E">
        <w:t>n 20</w:t>
      </w:r>
      <w:r w:rsidR="00753ADC">
        <w:t>20</w:t>
      </w:r>
      <w:r w:rsidR="00D7278E">
        <w:t xml:space="preserve">, </w:t>
      </w:r>
      <w:r w:rsidR="002934C9" w:rsidRPr="00EC2526">
        <w:t>$3</w:t>
      </w:r>
      <w:r w:rsidR="00D7278E">
        <w:t>2</w:t>
      </w:r>
      <w:r w:rsidR="00753ADC">
        <w:t>6</w:t>
      </w:r>
      <w:r w:rsidR="002934C9" w:rsidRPr="00EC2526">
        <w:t>,</w:t>
      </w:r>
      <w:r w:rsidR="00753ADC">
        <w:t>6</w:t>
      </w:r>
      <w:r w:rsidR="002934C9" w:rsidRPr="00EC2526">
        <w:t>00 for married taxpayers filing jointly; $1</w:t>
      </w:r>
      <w:r w:rsidR="00D7278E">
        <w:t>6</w:t>
      </w:r>
      <w:r w:rsidR="00753ADC">
        <w:t>3</w:t>
      </w:r>
      <w:r w:rsidR="002934C9" w:rsidRPr="00EC2526">
        <w:t>,</w:t>
      </w:r>
      <w:r w:rsidR="00753ADC">
        <w:t>3</w:t>
      </w:r>
      <w:r w:rsidR="002934C9" w:rsidRPr="00EC2526">
        <w:t xml:space="preserve">00 for </w:t>
      </w:r>
      <w:r w:rsidR="00D7278E">
        <w:t xml:space="preserve">single and head-of-household </w:t>
      </w:r>
      <w:r w:rsidR="002934C9" w:rsidRPr="00EC2526">
        <w:t>taxpayers),</w:t>
      </w:r>
      <w:r w:rsidR="002934C9">
        <w:t xml:space="preserve"> </w:t>
      </w:r>
      <w:r w:rsidR="002934C9" w:rsidRPr="00EC2526">
        <w:t xml:space="preserve">the scope of a qualified trade or business (QTB) is broad. </w:t>
      </w:r>
    </w:p>
    <w:p w14:paraId="5274C145" w14:textId="77777777" w:rsidR="002934C9" w:rsidRPr="00A53557" w:rsidRDefault="002934C9" w:rsidP="002934C9">
      <w:pPr>
        <w:ind w:left="720" w:hanging="720"/>
        <w:rPr>
          <w:sz w:val="20"/>
          <w:szCs w:val="20"/>
        </w:rPr>
      </w:pPr>
    </w:p>
    <w:p w14:paraId="64274F07" w14:textId="77777777" w:rsidR="002934C9" w:rsidRDefault="002934C9" w:rsidP="002934C9">
      <w:pPr>
        <w:ind w:left="1440" w:hanging="720"/>
      </w:pPr>
      <w:r>
        <w:t>a.</w:t>
      </w:r>
      <w:r>
        <w:tab/>
      </w:r>
      <w:r w:rsidRPr="00EC2526">
        <w:t>In general, it includes any</w:t>
      </w:r>
      <w:r>
        <w:t xml:space="preserve"> </w:t>
      </w:r>
      <w:r w:rsidRPr="00EC2526">
        <w:t>trade or business other than providing services as an employee.</w:t>
      </w:r>
    </w:p>
    <w:p w14:paraId="530FAD03" w14:textId="77777777" w:rsidR="002934C9" w:rsidRPr="00A53557" w:rsidRDefault="002934C9" w:rsidP="002934C9">
      <w:pPr>
        <w:ind w:left="1440" w:hanging="720"/>
        <w:rPr>
          <w:sz w:val="20"/>
          <w:szCs w:val="20"/>
        </w:rPr>
      </w:pPr>
    </w:p>
    <w:p w14:paraId="1B6D3465" w14:textId="77777777" w:rsidR="002934C9" w:rsidRDefault="002934C9" w:rsidP="002934C9">
      <w:pPr>
        <w:ind w:left="1440" w:hanging="720"/>
      </w:pPr>
      <w:r>
        <w:t>b.</w:t>
      </w:r>
      <w:r>
        <w:tab/>
      </w:r>
      <w:r w:rsidRPr="00EC2526">
        <w:t>As a result, the deduction is available to sole proprietors, independent contractors,</w:t>
      </w:r>
      <w:r>
        <w:t xml:space="preserve"> </w:t>
      </w:r>
      <w:r w:rsidRPr="00EC2526">
        <w:t>and noncorporate owners of S corporations, partnerships, and LLCs.</w:t>
      </w:r>
    </w:p>
    <w:p w14:paraId="477FB42C" w14:textId="77777777" w:rsidR="002934C9" w:rsidRDefault="002934C9" w:rsidP="002934C9">
      <w:pPr>
        <w:ind w:left="720" w:hanging="720"/>
      </w:pPr>
    </w:p>
    <w:p w14:paraId="70B7732A" w14:textId="7E3D8831" w:rsidR="00D7278E" w:rsidRDefault="00D7278E" w:rsidP="00D7278E">
      <w:pPr>
        <w:ind w:left="720" w:hanging="720"/>
      </w:pPr>
      <w:r>
        <w:t>37.</w:t>
      </w:r>
      <w:r>
        <w:tab/>
        <w:t xml:space="preserve">“Trade or Business” Under </w:t>
      </w:r>
      <w:r w:rsidRPr="00EC2526">
        <w:t>§</w:t>
      </w:r>
      <w:r w:rsidR="005A70D6">
        <w:t xml:space="preserve"> </w:t>
      </w:r>
      <w:r w:rsidRPr="00EC2526">
        <w:t>199A</w:t>
      </w:r>
      <w:r>
        <w:t xml:space="preserve">. </w:t>
      </w:r>
      <w:r w:rsidR="005A70D6">
        <w:t>T</w:t>
      </w:r>
      <w:r>
        <w:t>he Supreme Court has determined that to be “engaged in a trade or business, the taxpayer must be involved in the activity with continuity and regularity and that the taxpayer’s primary purpose for engaging in the activity must be for income or profit.”</w:t>
      </w:r>
    </w:p>
    <w:p w14:paraId="75A41DD3" w14:textId="77777777" w:rsidR="00D7278E" w:rsidRPr="00A53557" w:rsidRDefault="00D7278E" w:rsidP="00D7278E">
      <w:pPr>
        <w:ind w:left="720" w:hanging="720"/>
        <w:rPr>
          <w:sz w:val="20"/>
          <w:szCs w:val="20"/>
        </w:rPr>
      </w:pPr>
    </w:p>
    <w:p w14:paraId="341914F9" w14:textId="199EBD9C" w:rsidR="00D7278E" w:rsidRDefault="00D7278E" w:rsidP="00723D23">
      <w:pPr>
        <w:ind w:left="1440" w:hanging="720"/>
      </w:pPr>
      <w:r>
        <w:t>a.</w:t>
      </w:r>
      <w:r>
        <w:tab/>
        <w:t>The § 199A Regulations acknowledge that multiple businesses might be contained in a single entity but emphasize that this determination depends on “all the facts and circumstances.” At a minimum, for § 199A to apply to each business, separate books and records must be maintained for each business.</w:t>
      </w:r>
    </w:p>
    <w:p w14:paraId="6B61CFEA" w14:textId="77777777" w:rsidR="00D7278E" w:rsidRPr="00A53557" w:rsidRDefault="00D7278E" w:rsidP="00723D23">
      <w:pPr>
        <w:ind w:left="1440" w:hanging="720"/>
        <w:rPr>
          <w:sz w:val="20"/>
          <w:szCs w:val="20"/>
        </w:rPr>
      </w:pPr>
    </w:p>
    <w:p w14:paraId="22723BD2" w14:textId="1D27E03F" w:rsidR="00D7278E" w:rsidRDefault="00D7278E" w:rsidP="00723D23">
      <w:pPr>
        <w:ind w:left="1440" w:hanging="720"/>
      </w:pPr>
      <w:r>
        <w:t>b.</w:t>
      </w:r>
      <w:r>
        <w:tab/>
      </w:r>
      <w:r w:rsidRPr="00723D23">
        <w:rPr>
          <w:i/>
        </w:rPr>
        <w:t>Rental Real Estate Safe Harbor</w:t>
      </w:r>
      <w:r w:rsidR="005A70D6">
        <w:t>.</w:t>
      </w:r>
      <w:r>
        <w:t xml:space="preserve"> A rental real estate activity (or multiple rentals if the taxpayer chooses to combine them) will be treated as a trade or business for purposes of §</w:t>
      </w:r>
      <w:r w:rsidR="005A70D6">
        <w:t xml:space="preserve"> </w:t>
      </w:r>
      <w:r>
        <w:t>199A if the following conditions are met</w:t>
      </w:r>
      <w:r w:rsidR="002D6396">
        <w:t>.</w:t>
      </w:r>
    </w:p>
    <w:p w14:paraId="7A2A453D" w14:textId="6828081C" w:rsidR="00D7278E" w:rsidRDefault="00D7278E" w:rsidP="00723D23">
      <w:pPr>
        <w:pStyle w:val="ListParagraph"/>
        <w:numPr>
          <w:ilvl w:val="1"/>
          <w:numId w:val="48"/>
        </w:numPr>
        <w:ind w:left="2160" w:hanging="720"/>
        <w:contextualSpacing/>
      </w:pPr>
      <w:r>
        <w:t>Separate books and records are maintained for each rental activity (or the combined enterprise if grouped together).</w:t>
      </w:r>
    </w:p>
    <w:p w14:paraId="4782E26E" w14:textId="365772F3" w:rsidR="00D7278E" w:rsidRDefault="00D7278E" w:rsidP="00723D23">
      <w:pPr>
        <w:pStyle w:val="ListParagraph"/>
        <w:numPr>
          <w:ilvl w:val="1"/>
          <w:numId w:val="48"/>
        </w:numPr>
        <w:ind w:left="2160" w:hanging="720"/>
        <w:contextualSpacing/>
      </w:pPr>
      <w:r>
        <w:t xml:space="preserve">At least 250 hours of “rental services” are performed per year for the activity (or combined enterprise). </w:t>
      </w:r>
      <w:r w:rsidR="00753ADC">
        <w:t>This work may be performed by the owner or by employees, agents, or contractors of the owner.</w:t>
      </w:r>
    </w:p>
    <w:p w14:paraId="21DFF63F" w14:textId="71DB5B87" w:rsidR="00D7278E" w:rsidRDefault="00D7278E" w:rsidP="00723D23">
      <w:pPr>
        <w:pStyle w:val="ListParagraph"/>
        <w:numPr>
          <w:ilvl w:val="1"/>
          <w:numId w:val="48"/>
        </w:numPr>
        <w:ind w:left="2160" w:hanging="720"/>
        <w:contextualSpacing/>
      </w:pPr>
      <w:r>
        <w:t>The taxpayer maintains contemporaneous records, including time reports or similar documents, supporting the services performed.</w:t>
      </w:r>
    </w:p>
    <w:p w14:paraId="0753417C" w14:textId="06FF439F" w:rsidR="00753ADC" w:rsidRDefault="00753ADC" w:rsidP="00356A40">
      <w:pPr>
        <w:pStyle w:val="ListParagraph"/>
        <w:numPr>
          <w:ilvl w:val="1"/>
          <w:numId w:val="48"/>
        </w:numPr>
        <w:ind w:hanging="723"/>
        <w:contextualSpacing/>
      </w:pPr>
      <w:r>
        <w:t>A statement is attached to the timely filed return that indicates the taxpayer is using the safe harbor, describing the properties, and acknowledging that the requirements for the safe harbor are met.</w:t>
      </w:r>
    </w:p>
    <w:p w14:paraId="48CA16CE" w14:textId="77777777" w:rsidR="00D7278E" w:rsidRDefault="00D7278E" w:rsidP="002934C9">
      <w:pPr>
        <w:ind w:left="720" w:hanging="720"/>
      </w:pPr>
    </w:p>
    <w:p w14:paraId="283FCABD" w14:textId="242EAE08" w:rsidR="00202FD9" w:rsidRDefault="00202FD9" w:rsidP="00723D23">
      <w:pPr>
        <w:ind w:left="1440"/>
      </w:pPr>
      <w:r>
        <w:t xml:space="preserve">A taxpayer </w:t>
      </w:r>
      <w:r w:rsidR="005A70D6">
        <w:t>cannot</w:t>
      </w:r>
      <w:r>
        <w:t xml:space="preserve"> use the safe harbor for the rental of any residence that the taxpayer uses as a personal residence for more than 14 days during the year</w:t>
      </w:r>
      <w:r w:rsidR="005A70D6">
        <w:t>,</w:t>
      </w:r>
      <w:r>
        <w:t xml:space="preserve"> and the taxpayer must own the rental property directly</w:t>
      </w:r>
      <w:r w:rsidR="005A70D6">
        <w:t>.</w:t>
      </w:r>
    </w:p>
    <w:p w14:paraId="32518715" w14:textId="77777777" w:rsidR="00202FD9" w:rsidRDefault="00202FD9" w:rsidP="002934C9">
      <w:pPr>
        <w:ind w:left="720" w:hanging="720"/>
      </w:pPr>
    </w:p>
    <w:p w14:paraId="092FDFA5" w14:textId="2DD7272C" w:rsidR="002934C9" w:rsidRDefault="00270D24" w:rsidP="002934C9">
      <w:pPr>
        <w:ind w:left="720" w:hanging="720"/>
      </w:pPr>
      <w:r>
        <w:t>38</w:t>
      </w:r>
      <w:r w:rsidR="002934C9">
        <w:t>.</w:t>
      </w:r>
      <w:r w:rsidR="002934C9">
        <w:tab/>
        <w:t xml:space="preserve">Taxpayers with Multiple Businesses. </w:t>
      </w:r>
      <w:r w:rsidR="002934C9" w:rsidRPr="00EC2526">
        <w:t>The deduction for qualified business income must be determined separately for each</w:t>
      </w:r>
      <w:r w:rsidR="002934C9">
        <w:t xml:space="preserve"> </w:t>
      </w:r>
      <w:r w:rsidR="002934C9" w:rsidRPr="00EC2526">
        <w:t>qualified trade or business</w:t>
      </w:r>
      <w:r w:rsidR="002934C9">
        <w:t xml:space="preserve"> and </w:t>
      </w:r>
      <w:r w:rsidR="002934C9" w:rsidRPr="00EC2526">
        <w:t xml:space="preserve">then </w:t>
      </w:r>
      <w:r w:rsidR="00D7278E">
        <w:t>aggregated</w:t>
      </w:r>
      <w:r w:rsidR="002934C9" w:rsidRPr="00EC2526">
        <w:t>. This</w:t>
      </w:r>
      <w:r w:rsidR="002934C9">
        <w:t xml:space="preserve"> </w:t>
      </w:r>
      <w:r w:rsidR="002934C9" w:rsidRPr="00EC2526">
        <w:t>combined amount is then compared to the overall modified taxable income limit.</w:t>
      </w:r>
    </w:p>
    <w:p w14:paraId="20503FD7" w14:textId="64AE905B" w:rsidR="00356A40" w:rsidRDefault="00356A40">
      <w:pPr>
        <w:rPr>
          <w:b/>
        </w:rPr>
      </w:pPr>
    </w:p>
    <w:p w14:paraId="72B56637" w14:textId="68AF189D" w:rsidR="002934C9" w:rsidRDefault="002934C9" w:rsidP="002934C9">
      <w:pPr>
        <w:rPr>
          <w:b/>
        </w:rPr>
      </w:pPr>
      <w:r w:rsidRPr="00A55AD1">
        <w:rPr>
          <w:b/>
        </w:rPr>
        <w:lastRenderedPageBreak/>
        <w:t>Limitations on the QBI Deduction</w:t>
      </w:r>
    </w:p>
    <w:p w14:paraId="341F4B49" w14:textId="77777777" w:rsidR="002934C9" w:rsidRDefault="002934C9" w:rsidP="002934C9">
      <w:pPr>
        <w:rPr>
          <w:b/>
        </w:rPr>
      </w:pPr>
    </w:p>
    <w:p w14:paraId="2F97FA60" w14:textId="57F8856B" w:rsidR="002934C9" w:rsidRDefault="00270D24" w:rsidP="002934C9">
      <w:pPr>
        <w:ind w:left="720" w:hanging="720"/>
      </w:pPr>
      <w:r>
        <w:t>39</w:t>
      </w:r>
      <w:r w:rsidR="002934C9">
        <w:t>.</w:t>
      </w:r>
      <w:r w:rsidR="002934C9">
        <w:tab/>
      </w:r>
      <w:r w:rsidR="002934C9" w:rsidRPr="00EC2526">
        <w:t xml:space="preserve">Once </w:t>
      </w:r>
      <w:r w:rsidR="002934C9">
        <w:t>the taxable income</w:t>
      </w:r>
      <w:r w:rsidR="002934C9" w:rsidRPr="00EC2526">
        <w:t xml:space="preserve"> thresholds</w:t>
      </w:r>
      <w:r w:rsidR="002934C9" w:rsidRPr="008915BE">
        <w:t>—$3</w:t>
      </w:r>
      <w:r w:rsidR="00250670">
        <w:t>2</w:t>
      </w:r>
      <w:r w:rsidR="00753ADC">
        <w:t>6</w:t>
      </w:r>
      <w:r w:rsidR="002934C9" w:rsidRPr="008915BE">
        <w:t>,</w:t>
      </w:r>
      <w:r w:rsidR="00753ADC">
        <w:t>6</w:t>
      </w:r>
      <w:r w:rsidR="002934C9" w:rsidRPr="008915BE">
        <w:t>00 for married taxpayers filing jointly and</w:t>
      </w:r>
      <w:r w:rsidR="002934C9">
        <w:t xml:space="preserve"> </w:t>
      </w:r>
      <w:r w:rsidR="002934C9" w:rsidRPr="008915BE">
        <w:t>$1</w:t>
      </w:r>
      <w:r w:rsidR="00250670">
        <w:t>6</w:t>
      </w:r>
      <w:r w:rsidR="00753ADC">
        <w:t>3</w:t>
      </w:r>
      <w:r w:rsidR="002934C9" w:rsidRPr="008915BE">
        <w:t>,</w:t>
      </w:r>
      <w:r w:rsidR="00753ADC">
        <w:t>3</w:t>
      </w:r>
      <w:r w:rsidR="002934C9" w:rsidRPr="008915BE">
        <w:t xml:space="preserve">00 for </w:t>
      </w:r>
      <w:r w:rsidR="00250670">
        <w:t>single and head-of-household</w:t>
      </w:r>
      <w:r w:rsidR="002934C9" w:rsidRPr="008915BE">
        <w:t xml:space="preserve"> taxpayers</w:t>
      </w:r>
      <w:r w:rsidR="00250670">
        <w:t xml:space="preserve"> in 20</w:t>
      </w:r>
      <w:r w:rsidR="00753ADC">
        <w:t>20</w:t>
      </w:r>
      <w:r w:rsidR="002934C9" w:rsidRPr="008915BE">
        <w:t>—</w:t>
      </w:r>
      <w:r w:rsidR="002934C9" w:rsidRPr="00EC2526">
        <w:t>are reached, §</w:t>
      </w:r>
      <w:r w:rsidR="005A70D6">
        <w:t xml:space="preserve"> </w:t>
      </w:r>
      <w:r w:rsidR="002934C9" w:rsidRPr="00EC2526">
        <w:t>199A imposes two independent limitations:</w:t>
      </w:r>
    </w:p>
    <w:p w14:paraId="746CF9F5" w14:textId="77777777" w:rsidR="002934C9" w:rsidRDefault="002934C9" w:rsidP="002934C9">
      <w:pPr>
        <w:ind w:left="720" w:hanging="720"/>
      </w:pPr>
    </w:p>
    <w:p w14:paraId="13BE17FB" w14:textId="77777777" w:rsidR="002934C9" w:rsidRDefault="002934C9" w:rsidP="002934C9">
      <w:pPr>
        <w:ind w:left="1440" w:hanging="720"/>
      </w:pPr>
      <w:r>
        <w:t>a.</w:t>
      </w:r>
      <w:r>
        <w:tab/>
      </w:r>
      <w:r w:rsidRPr="008915BE">
        <w:t>The QBI deduction is capped based on the percentage of the W–2 wages paid by</w:t>
      </w:r>
      <w:r>
        <w:t xml:space="preserve"> </w:t>
      </w:r>
      <w:r w:rsidRPr="008915BE">
        <w:t>the business or based on a smaller percentage</w:t>
      </w:r>
      <w:r>
        <w:t xml:space="preserve"> </w:t>
      </w:r>
      <w:r w:rsidRPr="008915BE">
        <w:t>of W–2 wages paid by the business and a percentage of the cost of its depreciable</w:t>
      </w:r>
      <w:r>
        <w:t xml:space="preserve"> property used to produce QBI.</w:t>
      </w:r>
    </w:p>
    <w:p w14:paraId="7EAAA1EA" w14:textId="77777777" w:rsidR="002934C9" w:rsidRDefault="002934C9" w:rsidP="002934C9">
      <w:pPr>
        <w:ind w:left="1440" w:hanging="720"/>
      </w:pPr>
    </w:p>
    <w:p w14:paraId="731294E0" w14:textId="77777777" w:rsidR="002934C9" w:rsidRDefault="002934C9" w:rsidP="002934C9">
      <w:pPr>
        <w:ind w:left="1440" w:hanging="720"/>
      </w:pPr>
      <w:r>
        <w:t>b.</w:t>
      </w:r>
      <w:r>
        <w:tab/>
      </w:r>
      <w:r w:rsidRPr="008915BE">
        <w:t>The QBI deduction generally is not available for income earned from “specified</w:t>
      </w:r>
      <w:r>
        <w:t xml:space="preserve"> </w:t>
      </w:r>
      <w:r w:rsidRPr="008915BE">
        <w:t>service” businesses. “Specified service” businesses include doctors, dentists,</w:t>
      </w:r>
      <w:r>
        <w:t xml:space="preserve"> </w:t>
      </w:r>
      <w:r w:rsidRPr="008915BE">
        <w:t>lawyers, accountants, consultants, investment advisers, entertainers, and athletes</w:t>
      </w:r>
      <w:r>
        <w:t xml:space="preserve"> </w:t>
      </w:r>
      <w:r w:rsidRPr="008915BE">
        <w:t>(among others), but not engineers and architects.</w:t>
      </w:r>
    </w:p>
    <w:p w14:paraId="2AE653C8" w14:textId="77777777" w:rsidR="002934C9" w:rsidRDefault="002934C9" w:rsidP="002934C9">
      <w:pPr>
        <w:ind w:left="1440" w:hanging="720"/>
      </w:pPr>
    </w:p>
    <w:p w14:paraId="6128E39D" w14:textId="2A51F645" w:rsidR="002934C9" w:rsidRDefault="00270D24" w:rsidP="002934C9">
      <w:pPr>
        <w:ind w:left="720" w:hanging="720"/>
      </w:pPr>
      <w:r>
        <w:t>40</w:t>
      </w:r>
      <w:r w:rsidR="002934C9">
        <w:t>.</w:t>
      </w:r>
      <w:r w:rsidR="002934C9">
        <w:tab/>
        <w:t>I</w:t>
      </w:r>
      <w:r w:rsidR="002934C9" w:rsidRPr="008915BE">
        <w:t>n all cases, the QBI deduction can never exceed 20</w:t>
      </w:r>
      <w:r w:rsidR="002934C9">
        <w:t>%</w:t>
      </w:r>
      <w:r w:rsidR="002934C9" w:rsidRPr="008915BE">
        <w:t xml:space="preserve"> of the</w:t>
      </w:r>
      <w:r w:rsidR="002934C9">
        <w:t xml:space="preserve"> </w:t>
      </w:r>
      <w:r w:rsidR="002934C9" w:rsidRPr="008915BE">
        <w:t>taxpayer’s modified taxable income (taxable income before the QBI deduction reduced</w:t>
      </w:r>
      <w:r w:rsidR="002934C9">
        <w:t xml:space="preserve"> </w:t>
      </w:r>
      <w:r w:rsidR="002934C9" w:rsidRPr="008915BE">
        <w:t>by any net capital gain, including qualified dividend income)</w:t>
      </w:r>
      <w:r w:rsidR="002934C9">
        <w:t>.</w:t>
      </w:r>
    </w:p>
    <w:p w14:paraId="78B0F492" w14:textId="77777777" w:rsidR="002934C9" w:rsidRDefault="002934C9" w:rsidP="002934C9">
      <w:pPr>
        <w:ind w:left="720" w:hanging="720"/>
      </w:pPr>
    </w:p>
    <w:p w14:paraId="37A36C84" w14:textId="79B9076A" w:rsidR="002934C9" w:rsidRDefault="00270D24" w:rsidP="002934C9">
      <w:pPr>
        <w:ind w:left="720" w:hanging="720"/>
      </w:pPr>
      <w:r>
        <w:t>41</w:t>
      </w:r>
      <w:r w:rsidR="002934C9">
        <w:t>.</w:t>
      </w:r>
      <w:r w:rsidR="002934C9">
        <w:tab/>
      </w:r>
      <w:r w:rsidR="002934C9" w:rsidRPr="008915BE">
        <w:t xml:space="preserve">Concept Summary </w:t>
      </w:r>
      <w:r>
        <w:t>2</w:t>
      </w:r>
      <w:r w:rsidR="002934C9" w:rsidRPr="008915BE">
        <w:t>.</w:t>
      </w:r>
      <w:r>
        <w:t>2</w:t>
      </w:r>
      <w:r w:rsidR="002934C9" w:rsidRPr="008915BE">
        <w:t xml:space="preserve"> </w:t>
      </w:r>
      <w:r w:rsidR="005C00FE">
        <w:t xml:space="preserve">in the text </w:t>
      </w:r>
      <w:r w:rsidR="002934C9" w:rsidRPr="008915BE">
        <w:t>provides a flowchart to assist in applying these rules.</w:t>
      </w:r>
    </w:p>
    <w:p w14:paraId="1386D7F3" w14:textId="77777777" w:rsidR="002934C9" w:rsidRPr="005D7214" w:rsidRDefault="002934C9" w:rsidP="002934C9">
      <w:pPr>
        <w:ind w:left="720" w:hanging="720"/>
      </w:pPr>
    </w:p>
    <w:p w14:paraId="37175082" w14:textId="77777777" w:rsidR="002934C9" w:rsidRDefault="002934C9" w:rsidP="002934C9">
      <w:pPr>
        <w:rPr>
          <w:b/>
        </w:rPr>
      </w:pPr>
      <w:r w:rsidRPr="00A55AD1">
        <w:rPr>
          <w:b/>
        </w:rPr>
        <w:t>Limitation Based on Wages and Capital Investment</w:t>
      </w:r>
    </w:p>
    <w:p w14:paraId="14784CCB" w14:textId="77777777" w:rsidR="002934C9" w:rsidRDefault="002934C9" w:rsidP="002934C9"/>
    <w:p w14:paraId="6626B8BF" w14:textId="46E2C56B" w:rsidR="002934C9" w:rsidRDefault="00270D24" w:rsidP="002934C9">
      <w:pPr>
        <w:ind w:left="720" w:hanging="720"/>
      </w:pPr>
      <w:r>
        <w:t>42</w:t>
      </w:r>
      <w:r w:rsidR="002934C9">
        <w:t>.</w:t>
      </w:r>
      <w:r w:rsidR="002934C9">
        <w:tab/>
      </w:r>
      <w:r w:rsidR="002934C9" w:rsidRPr="00CA383F">
        <w:t>The W–2 Wages/Capital Investment Limit limits the 20</w:t>
      </w:r>
      <w:r w:rsidR="002934C9">
        <w:t>%</w:t>
      </w:r>
      <w:r w:rsidR="002934C9" w:rsidRPr="00CA383F">
        <w:t xml:space="preserve"> QBI deduction to the greater of:</w:t>
      </w:r>
    </w:p>
    <w:p w14:paraId="768A6FA5" w14:textId="77777777" w:rsidR="002934C9" w:rsidRPr="00CA383F" w:rsidRDefault="002934C9" w:rsidP="002934C9">
      <w:pPr>
        <w:ind w:left="720" w:hanging="720"/>
      </w:pPr>
    </w:p>
    <w:p w14:paraId="37E9FB3D" w14:textId="1A290460" w:rsidR="002934C9" w:rsidRPr="00CA383F" w:rsidRDefault="002934C9" w:rsidP="002934C9">
      <w:pPr>
        <w:ind w:left="1440" w:hanging="720"/>
      </w:pPr>
      <w:r>
        <w:t>a.</w:t>
      </w:r>
      <w:r>
        <w:tab/>
      </w:r>
      <w:r w:rsidRPr="00CA383F">
        <w:t>50</w:t>
      </w:r>
      <w:r>
        <w:t>%</w:t>
      </w:r>
      <w:r w:rsidRPr="00CA383F">
        <w:t xml:space="preserve"> of the “W</w:t>
      </w:r>
      <w:bookmarkStart w:id="2" w:name="_Hlk518035642"/>
      <w:r w:rsidRPr="00CA383F">
        <w:t>−</w:t>
      </w:r>
      <w:bookmarkEnd w:id="2"/>
      <w:r w:rsidRPr="00CA383F">
        <w:t>2 wages” paid by the QTB</w:t>
      </w:r>
      <w:r w:rsidR="00C91ADE">
        <w:t>, or</w:t>
      </w:r>
    </w:p>
    <w:p w14:paraId="26581506" w14:textId="77777777" w:rsidR="002934C9" w:rsidRDefault="002934C9" w:rsidP="002934C9">
      <w:pPr>
        <w:ind w:left="1440" w:hanging="720"/>
      </w:pPr>
    </w:p>
    <w:p w14:paraId="1C2B540F" w14:textId="205F366D" w:rsidR="002934C9" w:rsidRDefault="002934C9" w:rsidP="002934C9">
      <w:pPr>
        <w:ind w:left="1440" w:hanging="720"/>
      </w:pPr>
      <w:r>
        <w:t>b.</w:t>
      </w:r>
      <w:r>
        <w:tab/>
      </w:r>
      <w:r w:rsidRPr="00CA383F">
        <w:t>25</w:t>
      </w:r>
      <w:r>
        <w:t>%</w:t>
      </w:r>
      <w:r w:rsidRPr="00CA383F">
        <w:t xml:space="preserve"> of the “W−2 wages” paid by the QTB plus 2.5</w:t>
      </w:r>
      <w:r>
        <w:t>%</w:t>
      </w:r>
      <w:r w:rsidRPr="00CA383F">
        <w:t xml:space="preserve"> of the taxpayer’s</w:t>
      </w:r>
      <w:r>
        <w:t xml:space="preserve"> </w:t>
      </w:r>
      <w:r w:rsidRPr="00CA383F">
        <w:t>share of the unadjusted basis immediately after acquisition of all tangible depreciable</w:t>
      </w:r>
      <w:r>
        <w:t xml:space="preserve"> </w:t>
      </w:r>
      <w:r w:rsidRPr="00CA383F">
        <w:t>property (including real estate) used in the QTB that has not been fully</w:t>
      </w:r>
      <w:r>
        <w:t xml:space="preserve"> </w:t>
      </w:r>
      <w:r w:rsidRPr="00CA383F">
        <w:t>depreciated prior t</w:t>
      </w:r>
      <w:r>
        <w:t>o the close of the taxable year</w:t>
      </w:r>
      <w:r w:rsidR="005C00FE">
        <w:t>.</w:t>
      </w:r>
    </w:p>
    <w:p w14:paraId="454484DD" w14:textId="77777777" w:rsidR="002934C9" w:rsidRDefault="002934C9" w:rsidP="002934C9">
      <w:pPr>
        <w:ind w:left="1440" w:hanging="720"/>
      </w:pPr>
    </w:p>
    <w:p w14:paraId="70A9DBB6" w14:textId="4EE105EA" w:rsidR="002934C9" w:rsidRDefault="00270D24" w:rsidP="002934C9">
      <w:pPr>
        <w:ind w:left="720" w:hanging="720"/>
      </w:pPr>
      <w:r>
        <w:t>43</w:t>
      </w:r>
      <w:r w:rsidR="002934C9">
        <w:t>.</w:t>
      </w:r>
      <w:r w:rsidR="002934C9">
        <w:tab/>
        <w:t>W</w:t>
      </w:r>
      <w:r w:rsidR="005C00FE" w:rsidRPr="00CA383F">
        <w:t>−</w:t>
      </w:r>
      <w:r w:rsidR="002934C9">
        <w:t xml:space="preserve">2 Wages Limit. </w:t>
      </w:r>
      <w:r w:rsidR="002934C9" w:rsidRPr="00CA383F">
        <w:t>For labor-intensive</w:t>
      </w:r>
      <w:r w:rsidR="002934C9">
        <w:t xml:space="preserve"> </w:t>
      </w:r>
      <w:r w:rsidR="002934C9" w:rsidRPr="00CA383F">
        <w:t>businesses, 50</w:t>
      </w:r>
      <w:r w:rsidR="002934C9">
        <w:t>%</w:t>
      </w:r>
      <w:r w:rsidR="002934C9" w:rsidRPr="00CA383F">
        <w:t xml:space="preserve"> of the W</w:t>
      </w:r>
      <w:r w:rsidR="005C00FE" w:rsidRPr="00CA383F">
        <w:t>−</w:t>
      </w:r>
      <w:r w:rsidR="002934C9" w:rsidRPr="00CA383F">
        <w:t xml:space="preserve">2 wages paid by the business likely </w:t>
      </w:r>
      <w:r w:rsidR="00C91ADE">
        <w:t xml:space="preserve">will </w:t>
      </w:r>
      <w:r w:rsidR="002934C9" w:rsidRPr="00CA383F">
        <w:t>be the relevant</w:t>
      </w:r>
      <w:r w:rsidR="002934C9">
        <w:t xml:space="preserve"> </w:t>
      </w:r>
      <w:r w:rsidR="002934C9" w:rsidRPr="00CA383F">
        <w:t>limit on the QBI deduction.</w:t>
      </w:r>
      <w:r w:rsidR="002934C9">
        <w:t xml:space="preserve"> (See Examples </w:t>
      </w:r>
      <w:r>
        <w:t>1</w:t>
      </w:r>
      <w:r w:rsidR="00C91ADE">
        <w:t>2</w:t>
      </w:r>
      <w:r w:rsidR="002934C9">
        <w:t xml:space="preserve"> and </w:t>
      </w:r>
      <w:r>
        <w:t>1</w:t>
      </w:r>
      <w:r w:rsidR="00C91ADE">
        <w:t>3</w:t>
      </w:r>
      <w:r w:rsidR="002934C9">
        <w:t xml:space="preserve"> in the text.)</w:t>
      </w:r>
    </w:p>
    <w:p w14:paraId="3F5ED59F" w14:textId="77777777" w:rsidR="002934C9" w:rsidRDefault="002934C9" w:rsidP="002934C9">
      <w:pPr>
        <w:ind w:left="720" w:hanging="720"/>
      </w:pPr>
    </w:p>
    <w:p w14:paraId="3435FC05" w14:textId="7FD3A4EC" w:rsidR="002934C9" w:rsidRDefault="00270D24" w:rsidP="00371EB5">
      <w:r>
        <w:t>44</w:t>
      </w:r>
      <w:r w:rsidR="002934C9">
        <w:t>.</w:t>
      </w:r>
      <w:r w:rsidR="002934C9">
        <w:tab/>
      </w:r>
      <w:r w:rsidR="002934C9" w:rsidRPr="00CA383F">
        <w:t>W</w:t>
      </w:r>
      <w:r w:rsidR="005C00FE" w:rsidRPr="00CA383F">
        <w:t>−</w:t>
      </w:r>
      <w:r w:rsidR="002934C9" w:rsidRPr="00CA383F">
        <w:t>2 Wages/Capital Investment Limit</w:t>
      </w:r>
      <w:r w:rsidR="002934C9">
        <w:t xml:space="preserve">. </w:t>
      </w:r>
    </w:p>
    <w:p w14:paraId="16121BB1" w14:textId="77777777" w:rsidR="002934C9" w:rsidRDefault="002934C9" w:rsidP="002934C9">
      <w:pPr>
        <w:ind w:left="720" w:hanging="720"/>
      </w:pPr>
    </w:p>
    <w:p w14:paraId="4FBD20E7" w14:textId="21DFB580" w:rsidR="002934C9" w:rsidRDefault="002934C9" w:rsidP="002934C9">
      <w:pPr>
        <w:ind w:left="1440" w:hanging="720"/>
      </w:pPr>
      <w:r>
        <w:t>a.</w:t>
      </w:r>
      <w:r>
        <w:tab/>
      </w:r>
      <w:r w:rsidRPr="00CA383F">
        <w:t>For capital-intensive businesses (e.g., real estate), an alternate limit exists. It begins with</w:t>
      </w:r>
      <w:r>
        <w:t xml:space="preserve"> </w:t>
      </w:r>
      <w:r w:rsidRPr="00CA383F">
        <w:t>25</w:t>
      </w:r>
      <w:r>
        <w:t>%</w:t>
      </w:r>
      <w:r w:rsidRPr="00CA383F">
        <w:t xml:space="preserve"> of W</w:t>
      </w:r>
      <w:r w:rsidR="005C00FE" w:rsidRPr="00CA383F">
        <w:t>−</w:t>
      </w:r>
      <w:r w:rsidRPr="00CA383F">
        <w:t>2 wages paid by the QTB and adds to this amount 2.5</w:t>
      </w:r>
      <w:r>
        <w:t>%</w:t>
      </w:r>
      <w:r w:rsidRPr="00CA383F">
        <w:t xml:space="preserve"> of the</w:t>
      </w:r>
      <w:r>
        <w:t xml:space="preserve"> </w:t>
      </w:r>
      <w:r w:rsidRPr="00CA383F">
        <w:t>unadjusted basis (immediately after acquisition) of “qualified property.”</w:t>
      </w:r>
    </w:p>
    <w:p w14:paraId="25A42253" w14:textId="77777777" w:rsidR="002934C9" w:rsidRDefault="002934C9" w:rsidP="002934C9">
      <w:pPr>
        <w:ind w:left="720" w:hanging="720"/>
      </w:pPr>
    </w:p>
    <w:p w14:paraId="69D1C6F2" w14:textId="77777777" w:rsidR="00A53557" w:rsidRDefault="00A53557">
      <w:r>
        <w:br w:type="page"/>
      </w:r>
    </w:p>
    <w:p w14:paraId="24C58CEA" w14:textId="658992CE" w:rsidR="002934C9" w:rsidRDefault="002934C9" w:rsidP="002934C9">
      <w:pPr>
        <w:ind w:left="1440" w:hanging="720"/>
      </w:pPr>
      <w:r>
        <w:lastRenderedPageBreak/>
        <w:t>b.</w:t>
      </w:r>
      <w:r>
        <w:tab/>
      </w:r>
      <w:r w:rsidRPr="00CA383F">
        <w:t>Given the broad-based changes to MACRS made by the TCJA of 2017—allowing</w:t>
      </w:r>
      <w:r>
        <w:t xml:space="preserve"> </w:t>
      </w:r>
      <w:r w:rsidRPr="00CA383F">
        <w:t>taxpayers to expense (via § 179 and/or bonus depreciation) property other than real</w:t>
      </w:r>
      <w:r>
        <w:t xml:space="preserve"> </w:t>
      </w:r>
      <w:r w:rsidRPr="00CA383F">
        <w:t>estate—the “depreciable period” for “qualified property” under § 199A is a minimum</w:t>
      </w:r>
      <w:r>
        <w:t xml:space="preserve"> </w:t>
      </w:r>
      <w:r w:rsidRPr="00CA383F">
        <w:t>of 10 years.</w:t>
      </w:r>
      <w:r>
        <w:t xml:space="preserve"> (See Example </w:t>
      </w:r>
      <w:r w:rsidR="00270D24">
        <w:t>1</w:t>
      </w:r>
      <w:r w:rsidR="00C91ADE">
        <w:t>4</w:t>
      </w:r>
      <w:r>
        <w:t xml:space="preserve"> in the text.)</w:t>
      </w:r>
    </w:p>
    <w:p w14:paraId="49BBC0C7" w14:textId="77777777" w:rsidR="002934C9" w:rsidRDefault="002934C9" w:rsidP="002934C9">
      <w:pPr>
        <w:ind w:left="1440" w:hanging="720"/>
      </w:pPr>
    </w:p>
    <w:p w14:paraId="42DF6EFB" w14:textId="65E280A5" w:rsidR="002934C9" w:rsidRDefault="002934C9" w:rsidP="002934C9">
      <w:pPr>
        <w:ind w:left="1440" w:hanging="720"/>
      </w:pPr>
      <w:r>
        <w:t>c.</w:t>
      </w:r>
      <w:r>
        <w:tab/>
      </w:r>
      <w:r w:rsidRPr="00CA383F">
        <w:t>Many owners of pass-through businesses, especially landlords, have no employees.</w:t>
      </w:r>
      <w:r>
        <w:t xml:space="preserve"> </w:t>
      </w:r>
      <w:r w:rsidRPr="00CA383F">
        <w:t>As a result, the 25</w:t>
      </w:r>
      <w:r>
        <w:t>%</w:t>
      </w:r>
      <w:r w:rsidRPr="00CA383F">
        <w:t xml:space="preserve"> of W</w:t>
      </w:r>
      <w:r w:rsidR="005C00FE" w:rsidRPr="00CA383F">
        <w:t>−</w:t>
      </w:r>
      <w:r w:rsidRPr="00CA383F">
        <w:t>2 wages plus 2.5</w:t>
      </w:r>
      <w:r>
        <w:t>%</w:t>
      </w:r>
      <w:r w:rsidRPr="00CA383F">
        <w:t xml:space="preserve"> of the unadjusted basis of</w:t>
      </w:r>
      <w:r>
        <w:t xml:space="preserve"> </w:t>
      </w:r>
      <w:r w:rsidRPr="00CA383F">
        <w:t>qualified property is most likely to affect them.</w:t>
      </w:r>
      <w:r>
        <w:t xml:space="preserve"> (See Example </w:t>
      </w:r>
      <w:r w:rsidR="00270D24">
        <w:t>1</w:t>
      </w:r>
      <w:r w:rsidR="00C91ADE">
        <w:t>5</w:t>
      </w:r>
      <w:r>
        <w:t xml:space="preserve"> in the text.)</w:t>
      </w:r>
    </w:p>
    <w:p w14:paraId="10B1611D" w14:textId="77777777" w:rsidR="002934C9" w:rsidRDefault="002934C9" w:rsidP="002934C9">
      <w:pPr>
        <w:ind w:left="720" w:hanging="720"/>
      </w:pPr>
    </w:p>
    <w:p w14:paraId="7FE74569" w14:textId="7D8461B6" w:rsidR="002934C9" w:rsidRDefault="00270D24" w:rsidP="002934C9">
      <w:pPr>
        <w:ind w:left="720" w:hanging="720"/>
      </w:pPr>
      <w:r>
        <w:t>45</w:t>
      </w:r>
      <w:r w:rsidR="002934C9">
        <w:t>.</w:t>
      </w:r>
      <w:r w:rsidR="002934C9">
        <w:tab/>
      </w:r>
      <w:r w:rsidR="002934C9" w:rsidRPr="00CA383F">
        <w:t>Phase-In of W</w:t>
      </w:r>
      <w:r w:rsidR="005C00FE" w:rsidRPr="00CA383F">
        <w:t>−</w:t>
      </w:r>
      <w:r w:rsidR="002934C9" w:rsidRPr="00CA383F">
        <w:t>2 Wages/Capital Investment Limit</w:t>
      </w:r>
      <w:r w:rsidR="002934C9">
        <w:t xml:space="preserve">. </w:t>
      </w:r>
    </w:p>
    <w:p w14:paraId="665ECFF8" w14:textId="77777777" w:rsidR="002934C9" w:rsidRDefault="002934C9" w:rsidP="002934C9">
      <w:pPr>
        <w:ind w:left="720" w:hanging="720"/>
      </w:pPr>
    </w:p>
    <w:p w14:paraId="5E5D3CA0" w14:textId="3722ED9A" w:rsidR="002934C9" w:rsidRDefault="002934C9" w:rsidP="002934C9">
      <w:pPr>
        <w:ind w:left="1440" w:hanging="720"/>
      </w:pPr>
      <w:r>
        <w:t>a.</w:t>
      </w:r>
      <w:r>
        <w:tab/>
      </w:r>
      <w:r w:rsidRPr="00CA383F">
        <w:t>The W</w:t>
      </w:r>
      <w:r w:rsidR="005C00FE" w:rsidRPr="00CA383F">
        <w:t>−</w:t>
      </w:r>
      <w:r w:rsidRPr="00CA383F">
        <w:t>2 Wages/Capital Investment Limit does not apply to taxpayers with taxable</w:t>
      </w:r>
      <w:r>
        <w:t xml:space="preserve"> </w:t>
      </w:r>
      <w:r w:rsidRPr="00CA383F">
        <w:t>income before the QBI deduction less than the threshold amount ($3</w:t>
      </w:r>
      <w:r w:rsidR="00C91ADE">
        <w:t>2</w:t>
      </w:r>
      <w:r w:rsidR="00C932C1">
        <w:t>6</w:t>
      </w:r>
      <w:r w:rsidRPr="00CA383F">
        <w:t>,</w:t>
      </w:r>
      <w:r w:rsidR="00C932C1">
        <w:t>6</w:t>
      </w:r>
      <w:r w:rsidRPr="00CA383F">
        <w:t>00 for married</w:t>
      </w:r>
      <w:r>
        <w:t xml:space="preserve"> </w:t>
      </w:r>
      <w:r w:rsidRPr="00CA383F">
        <w:t>taxpayers filing jointly; $1</w:t>
      </w:r>
      <w:r w:rsidR="00C91ADE">
        <w:t>6</w:t>
      </w:r>
      <w:r w:rsidR="00C932C1">
        <w:t>3</w:t>
      </w:r>
      <w:r w:rsidRPr="00CA383F">
        <w:t>,</w:t>
      </w:r>
      <w:r w:rsidR="00C932C1">
        <w:t>3</w:t>
      </w:r>
      <w:r w:rsidRPr="00CA383F">
        <w:t xml:space="preserve">00 for </w:t>
      </w:r>
      <w:r w:rsidR="00C91ADE">
        <w:t>singles and heads of household</w:t>
      </w:r>
      <w:r w:rsidRPr="00CA383F">
        <w:t>).</w:t>
      </w:r>
    </w:p>
    <w:p w14:paraId="39EBB6AB" w14:textId="77777777" w:rsidR="002934C9" w:rsidRDefault="002934C9" w:rsidP="002934C9">
      <w:pPr>
        <w:ind w:left="1440" w:hanging="720"/>
      </w:pPr>
    </w:p>
    <w:p w14:paraId="22CB9138" w14:textId="1CA59BC7" w:rsidR="002934C9" w:rsidRDefault="002934C9" w:rsidP="002934C9">
      <w:pPr>
        <w:ind w:left="1440" w:hanging="720"/>
      </w:pPr>
      <w:r>
        <w:t>b.</w:t>
      </w:r>
      <w:r>
        <w:tab/>
        <w:t>I</w:t>
      </w:r>
      <w:r w:rsidRPr="00C41026">
        <w:t>f taxable income before the</w:t>
      </w:r>
      <w:r>
        <w:t xml:space="preserve"> </w:t>
      </w:r>
      <w:r w:rsidRPr="00C41026">
        <w:t>QBI deduction exceeds the threshold amount by more than $100,000 (married filing</w:t>
      </w:r>
      <w:r>
        <w:t xml:space="preserve"> </w:t>
      </w:r>
      <w:r w:rsidRPr="00C41026">
        <w:t>jointly) or $50,000 (all other taxpayers), the W</w:t>
      </w:r>
      <w:r w:rsidR="005C00FE" w:rsidRPr="00CA383F">
        <w:t>−</w:t>
      </w:r>
      <w:r w:rsidRPr="00C41026">
        <w:t>2 Wages/Capital Investment Limit</w:t>
      </w:r>
      <w:r>
        <w:t xml:space="preserve"> </w:t>
      </w:r>
      <w:r w:rsidRPr="00C41026">
        <w:t>must be used.</w:t>
      </w:r>
      <w:r>
        <w:t xml:space="preserve"> </w:t>
      </w:r>
    </w:p>
    <w:p w14:paraId="768ED5AD" w14:textId="77777777" w:rsidR="002934C9" w:rsidRDefault="002934C9" w:rsidP="002934C9">
      <w:pPr>
        <w:ind w:left="720" w:hanging="720"/>
      </w:pPr>
    </w:p>
    <w:p w14:paraId="60A840DC" w14:textId="06C9252F" w:rsidR="002934C9" w:rsidRPr="00C41026" w:rsidRDefault="002934C9" w:rsidP="002934C9">
      <w:pPr>
        <w:ind w:left="1440" w:hanging="720"/>
      </w:pPr>
      <w:r>
        <w:t>c.</w:t>
      </w:r>
      <w:r>
        <w:tab/>
        <w:t>If</w:t>
      </w:r>
      <w:r w:rsidRPr="00CA383F">
        <w:t xml:space="preserve"> the taxpayer’s taxable income before the QBI deduction is between</w:t>
      </w:r>
      <w:r>
        <w:t xml:space="preserve"> </w:t>
      </w:r>
      <w:r w:rsidRPr="00CA383F">
        <w:t>these two amounts and the W</w:t>
      </w:r>
      <w:r w:rsidR="005C00FE" w:rsidRPr="00CA383F">
        <w:t>−</w:t>
      </w:r>
      <w:r w:rsidRPr="00CA383F">
        <w:t>2 Wages/Capital Investment portion of the QBI</w:t>
      </w:r>
      <w:r>
        <w:t xml:space="preserve"> </w:t>
      </w:r>
      <w:r w:rsidRPr="00C41026">
        <w:t>deduction is capping the deduction, then the general 20</w:t>
      </w:r>
      <w:r>
        <w:t>%</w:t>
      </w:r>
      <w:r w:rsidRPr="00C41026">
        <w:t xml:space="preserve"> QBI amount is used,</w:t>
      </w:r>
      <w:r>
        <w:t xml:space="preserve"> </w:t>
      </w:r>
      <w:r w:rsidRPr="00C41026">
        <w:t>but reduced as follows</w:t>
      </w:r>
      <w:r w:rsidR="002D6396">
        <w:t>.</w:t>
      </w:r>
    </w:p>
    <w:p w14:paraId="31CD313B" w14:textId="77777777" w:rsidR="002934C9" w:rsidRDefault="002934C9" w:rsidP="002934C9">
      <w:pPr>
        <w:ind w:left="2160" w:hanging="720"/>
      </w:pPr>
    </w:p>
    <w:p w14:paraId="27E68132" w14:textId="315469C8" w:rsidR="002934C9" w:rsidRPr="00C41026" w:rsidRDefault="002934C9" w:rsidP="002934C9">
      <w:pPr>
        <w:ind w:left="2160" w:hanging="720"/>
      </w:pPr>
      <w:r>
        <w:t>(1)</w:t>
      </w:r>
      <w:r>
        <w:tab/>
      </w:r>
      <w:r w:rsidRPr="00C41026">
        <w:t>Determine difference between the general 20</w:t>
      </w:r>
      <w:r>
        <w:t>%</w:t>
      </w:r>
      <w:r w:rsidRPr="00C41026">
        <w:t xml:space="preserve"> QBI deduction amount and</w:t>
      </w:r>
      <w:r>
        <w:t xml:space="preserve"> </w:t>
      </w:r>
      <w:r w:rsidRPr="00C41026">
        <w:t>the W</w:t>
      </w:r>
      <w:r w:rsidR="005C00FE" w:rsidRPr="00CA383F">
        <w:t>−</w:t>
      </w:r>
      <w:r w:rsidRPr="00C41026">
        <w:t>2 Wa</w:t>
      </w:r>
      <w:r>
        <w:t>ges/Capital Investment amount.</w:t>
      </w:r>
    </w:p>
    <w:p w14:paraId="50F7300F" w14:textId="77777777" w:rsidR="002934C9" w:rsidRDefault="002934C9" w:rsidP="002934C9">
      <w:pPr>
        <w:ind w:left="2160" w:hanging="720"/>
      </w:pPr>
    </w:p>
    <w:p w14:paraId="35FB8192" w14:textId="77777777" w:rsidR="002934C9" w:rsidRDefault="002934C9" w:rsidP="002934C9">
      <w:pPr>
        <w:ind w:left="2160" w:hanging="720"/>
      </w:pPr>
      <w:r>
        <w:t>(</w:t>
      </w:r>
      <w:r w:rsidRPr="00C41026">
        <w:t>2</w:t>
      </w:r>
      <w:r>
        <w:t>)</w:t>
      </w:r>
      <w:r>
        <w:tab/>
      </w:r>
      <w:r w:rsidRPr="00C41026">
        <w:t>Determine the Reduction Ratio</w:t>
      </w:r>
      <w:r>
        <w:t>.</w:t>
      </w:r>
    </w:p>
    <w:p w14:paraId="0CA69AE1" w14:textId="77777777" w:rsidR="002934C9" w:rsidRDefault="002934C9" w:rsidP="002934C9">
      <w:pPr>
        <w:ind w:left="2160" w:hanging="720"/>
      </w:pPr>
    </w:p>
    <w:p w14:paraId="6E905F3C" w14:textId="0E6AE3CB" w:rsidR="002934C9" w:rsidRDefault="002934C9" w:rsidP="002934C9">
      <w:pPr>
        <w:ind w:left="2160" w:hanging="720"/>
      </w:pPr>
      <w:r>
        <w:t>(3)</w:t>
      </w:r>
      <w:r>
        <w:tab/>
      </w:r>
      <w:r w:rsidRPr="00C41026">
        <w:t>Determine the Reduction in the W</w:t>
      </w:r>
      <w:r w:rsidR="005C00FE" w:rsidRPr="00CA383F">
        <w:t>−</w:t>
      </w:r>
      <w:r w:rsidRPr="00C41026">
        <w:t>2 Wages/Capital Investment Limit</w:t>
      </w:r>
      <w:r>
        <w:t>.</w:t>
      </w:r>
    </w:p>
    <w:p w14:paraId="33A27529" w14:textId="77777777" w:rsidR="002934C9" w:rsidRDefault="002934C9" w:rsidP="002934C9">
      <w:pPr>
        <w:ind w:left="2160" w:hanging="720"/>
      </w:pPr>
    </w:p>
    <w:p w14:paraId="7A75832D" w14:textId="77777777" w:rsidR="002934C9" w:rsidRDefault="002934C9" w:rsidP="002934C9">
      <w:pPr>
        <w:ind w:left="2160" w:hanging="720"/>
      </w:pPr>
      <w:r>
        <w:t>(4)</w:t>
      </w:r>
      <w:r>
        <w:tab/>
      </w:r>
      <w:r w:rsidRPr="00C41026">
        <w:t>Determine QBI amount</w:t>
      </w:r>
      <w:r>
        <w:t>.</w:t>
      </w:r>
    </w:p>
    <w:p w14:paraId="09365B06" w14:textId="77777777" w:rsidR="002934C9" w:rsidRDefault="002934C9" w:rsidP="002934C9">
      <w:pPr>
        <w:ind w:left="2160" w:hanging="720"/>
      </w:pPr>
    </w:p>
    <w:p w14:paraId="054EAA75" w14:textId="5107104A" w:rsidR="002934C9" w:rsidRDefault="002934C9" w:rsidP="002934C9">
      <w:pPr>
        <w:ind w:left="1440" w:hanging="720"/>
      </w:pPr>
      <w:r>
        <w:t>d.</w:t>
      </w:r>
      <w:r>
        <w:tab/>
        <w:t xml:space="preserve">See Example </w:t>
      </w:r>
      <w:r w:rsidR="000B55A7">
        <w:t>1</w:t>
      </w:r>
      <w:r w:rsidR="00C91ADE">
        <w:t>6</w:t>
      </w:r>
      <w:r>
        <w:t xml:space="preserve"> in the text for an illustration of these calculations.</w:t>
      </w:r>
    </w:p>
    <w:p w14:paraId="35EE039A" w14:textId="77777777" w:rsidR="002934C9" w:rsidRPr="005D7214" w:rsidRDefault="002934C9" w:rsidP="002934C9">
      <w:pPr>
        <w:ind w:left="1440" w:hanging="720"/>
      </w:pPr>
    </w:p>
    <w:p w14:paraId="16194BC0" w14:textId="77777777" w:rsidR="002934C9" w:rsidRDefault="002934C9" w:rsidP="002934C9">
      <w:pPr>
        <w:rPr>
          <w:b/>
        </w:rPr>
      </w:pPr>
      <w:r w:rsidRPr="00A55AD1">
        <w:rPr>
          <w:b/>
        </w:rPr>
        <w:t>Limitation for “Specified Services” Businesses</w:t>
      </w:r>
    </w:p>
    <w:p w14:paraId="637BC8B5" w14:textId="77777777" w:rsidR="002934C9" w:rsidRDefault="002934C9" w:rsidP="002934C9"/>
    <w:p w14:paraId="1ECFBE4B" w14:textId="75C5E46A" w:rsidR="002934C9" w:rsidRDefault="000B55A7" w:rsidP="002934C9">
      <w:pPr>
        <w:ind w:left="720" w:hanging="720"/>
      </w:pPr>
      <w:r>
        <w:t>46</w:t>
      </w:r>
      <w:r w:rsidR="002934C9">
        <w:t>.</w:t>
      </w:r>
      <w:r w:rsidR="002934C9">
        <w:tab/>
      </w:r>
      <w:r w:rsidR="002934C9" w:rsidRPr="00C1131B">
        <w:t>For high-income taxpayers</w:t>
      </w:r>
      <w:r w:rsidR="005A70D6">
        <w:t xml:space="preserve"> (in 20</w:t>
      </w:r>
      <w:r w:rsidR="00C932C1">
        <w:t>20</w:t>
      </w:r>
      <w:r w:rsidR="005A70D6">
        <w:t>, $42</w:t>
      </w:r>
      <w:r w:rsidR="00C932C1">
        <w:t>6</w:t>
      </w:r>
      <w:r w:rsidR="005A70D6">
        <w:t>,</w:t>
      </w:r>
      <w:r w:rsidR="00C932C1">
        <w:t>6</w:t>
      </w:r>
      <w:r w:rsidR="005A70D6">
        <w:t xml:space="preserve">00 for married </w:t>
      </w:r>
      <w:r w:rsidR="00F1686C">
        <w:t>taxpayers</w:t>
      </w:r>
      <w:r w:rsidR="005A70D6">
        <w:t xml:space="preserve"> filing jointly, $21</w:t>
      </w:r>
      <w:r w:rsidR="00C932C1">
        <w:t>3</w:t>
      </w:r>
      <w:r w:rsidR="005A70D6">
        <w:t>,</w:t>
      </w:r>
      <w:r w:rsidR="00C932C1">
        <w:t>3</w:t>
      </w:r>
      <w:r w:rsidR="005A70D6">
        <w:t xml:space="preserve">00 for </w:t>
      </w:r>
      <w:r w:rsidR="00F1686C">
        <w:t>single and head-of-household taxpayers)</w:t>
      </w:r>
      <w:r w:rsidR="002934C9" w:rsidRPr="00C1131B">
        <w:t>, § 199A excludes any “specified service trade or business”</w:t>
      </w:r>
      <w:r w:rsidR="002934C9">
        <w:t xml:space="preserve"> </w:t>
      </w:r>
      <w:r w:rsidR="002934C9" w:rsidRPr="00C1131B">
        <w:t>from the definition of a qualified trade or business.</w:t>
      </w:r>
    </w:p>
    <w:p w14:paraId="22C4045C" w14:textId="77777777" w:rsidR="002934C9" w:rsidRDefault="002934C9" w:rsidP="002934C9">
      <w:pPr>
        <w:ind w:left="720" w:hanging="720"/>
      </w:pPr>
    </w:p>
    <w:p w14:paraId="54E81157" w14:textId="3E37E9FA" w:rsidR="002934C9" w:rsidRPr="00C1131B" w:rsidRDefault="000B55A7" w:rsidP="002934C9">
      <w:pPr>
        <w:ind w:left="720" w:hanging="720"/>
      </w:pPr>
      <w:r>
        <w:t>47</w:t>
      </w:r>
      <w:r w:rsidR="002934C9">
        <w:t>.</w:t>
      </w:r>
      <w:r w:rsidR="002934C9">
        <w:tab/>
      </w:r>
      <w:r w:rsidR="002934C9" w:rsidRPr="00C1131B">
        <w:t>A specified service trade or business</w:t>
      </w:r>
      <w:r w:rsidR="002934C9">
        <w:t xml:space="preserve"> </w:t>
      </w:r>
      <w:r w:rsidR="002934C9" w:rsidRPr="00C1131B">
        <w:t>includes those involving:</w:t>
      </w:r>
    </w:p>
    <w:p w14:paraId="65EE213A" w14:textId="756FC8AB" w:rsidR="002934C9" w:rsidRPr="005D7214" w:rsidRDefault="002934C9" w:rsidP="002934C9">
      <w:pPr>
        <w:pStyle w:val="ListParagraph"/>
        <w:numPr>
          <w:ilvl w:val="1"/>
          <w:numId w:val="48"/>
        </w:numPr>
        <w:ind w:left="1440" w:hanging="720"/>
        <w:contextualSpacing/>
      </w:pPr>
      <w:r w:rsidRPr="005D7214">
        <w:t>The performance of services in certain fields, including health, law, accounting, actuarial science, performing arts, consulting, athletics, financial services, and brokerage services</w:t>
      </w:r>
      <w:r w:rsidR="007E5FE4">
        <w:t>.</w:t>
      </w:r>
    </w:p>
    <w:p w14:paraId="7B7D9A1D" w14:textId="5C722EB2" w:rsidR="002934C9" w:rsidRPr="005D7214" w:rsidRDefault="002934C9" w:rsidP="002934C9">
      <w:pPr>
        <w:pStyle w:val="ListParagraph"/>
        <w:numPr>
          <w:ilvl w:val="1"/>
          <w:numId w:val="48"/>
        </w:numPr>
        <w:ind w:left="1440" w:hanging="720"/>
        <w:contextualSpacing/>
      </w:pPr>
      <w:r w:rsidRPr="005D7214">
        <w:lastRenderedPageBreak/>
        <w:t>Services consisting of investing and investment management, trading or dealing in securities, partnership interests, or commodities</w:t>
      </w:r>
      <w:r w:rsidR="007E5FE4">
        <w:t>.</w:t>
      </w:r>
    </w:p>
    <w:p w14:paraId="1C8E47E5" w14:textId="23765621" w:rsidR="002934C9" w:rsidRDefault="002934C9" w:rsidP="002934C9">
      <w:pPr>
        <w:pStyle w:val="ListParagraph"/>
        <w:numPr>
          <w:ilvl w:val="1"/>
          <w:numId w:val="48"/>
        </w:numPr>
        <w:ind w:left="1440" w:hanging="720"/>
        <w:contextualSpacing/>
      </w:pPr>
      <w:r w:rsidRPr="005D7214">
        <w:t>Any trade or business where the business’s principal asset is the reputation of one or more of its employees or owners</w:t>
      </w:r>
      <w:r w:rsidR="007E5FE4">
        <w:t>.</w:t>
      </w:r>
    </w:p>
    <w:p w14:paraId="1968CB53" w14:textId="77777777" w:rsidR="002934C9" w:rsidRDefault="002934C9" w:rsidP="002934C9"/>
    <w:p w14:paraId="644CEC4B" w14:textId="1F5BB60D" w:rsidR="002934C9" w:rsidRDefault="000B55A7" w:rsidP="002934C9">
      <w:pPr>
        <w:ind w:left="720" w:hanging="720"/>
      </w:pPr>
      <w:r>
        <w:t>48</w:t>
      </w:r>
      <w:r w:rsidR="002934C9">
        <w:t>.</w:t>
      </w:r>
      <w:r w:rsidR="002934C9">
        <w:tab/>
      </w:r>
      <w:r w:rsidR="002934C9" w:rsidRPr="00C1131B">
        <w:t>Architects and engineers are specifically excluded from this definition.</w:t>
      </w:r>
    </w:p>
    <w:p w14:paraId="7611DB79" w14:textId="77777777" w:rsidR="002934C9" w:rsidRDefault="002934C9" w:rsidP="002934C9">
      <w:pPr>
        <w:ind w:left="720" w:hanging="720"/>
      </w:pPr>
    </w:p>
    <w:p w14:paraId="261DB62E" w14:textId="2A55484B" w:rsidR="002934C9" w:rsidRDefault="000B55A7" w:rsidP="002934C9">
      <w:pPr>
        <w:ind w:left="720" w:hanging="720"/>
      </w:pPr>
      <w:r>
        <w:t>49</w:t>
      </w:r>
      <w:r w:rsidR="002934C9">
        <w:t>.</w:t>
      </w:r>
      <w:r w:rsidR="002934C9">
        <w:tab/>
      </w:r>
      <w:r w:rsidR="002934C9" w:rsidRPr="00C1131B">
        <w:t>According to the legislative history of the TCJA of 2017, the taxable income thresholds</w:t>
      </w:r>
      <w:r w:rsidR="002934C9">
        <w:t xml:space="preserve"> </w:t>
      </w:r>
      <w:r w:rsidR="002934C9" w:rsidRPr="00C1131B">
        <w:t>where the QBI deduction is phased out for “specified service” businesses were</w:t>
      </w:r>
      <w:r w:rsidR="002934C9">
        <w:t xml:space="preserve"> </w:t>
      </w:r>
      <w:r w:rsidR="002934C9" w:rsidRPr="00C1131B">
        <w:t>set by Congress “to deter high-income taxpayers from attempting to convert wages or</w:t>
      </w:r>
      <w:r w:rsidR="002934C9">
        <w:t xml:space="preserve"> </w:t>
      </w:r>
      <w:r w:rsidR="002934C9" w:rsidRPr="00C1131B">
        <w:t>other compensation for personal services to income eligible for the 20</w:t>
      </w:r>
      <w:r w:rsidR="002934C9">
        <w:t>%</w:t>
      </w:r>
      <w:r w:rsidR="002934C9" w:rsidRPr="00C1131B">
        <w:t xml:space="preserve"> deduction</w:t>
      </w:r>
      <w:r w:rsidR="002934C9">
        <w:t xml:space="preserve"> </w:t>
      </w:r>
      <w:r w:rsidR="002934C9" w:rsidRPr="00C1131B">
        <w:t>under the provision.”</w:t>
      </w:r>
    </w:p>
    <w:p w14:paraId="5CE2DB0D" w14:textId="77777777" w:rsidR="002934C9" w:rsidRDefault="002934C9" w:rsidP="002934C9">
      <w:pPr>
        <w:ind w:left="720" w:hanging="720"/>
      </w:pPr>
    </w:p>
    <w:p w14:paraId="05FA617C" w14:textId="1708D448" w:rsidR="002934C9" w:rsidRDefault="000B55A7" w:rsidP="002934C9">
      <w:pPr>
        <w:ind w:left="720" w:hanging="720"/>
      </w:pPr>
      <w:r>
        <w:t>50</w:t>
      </w:r>
      <w:r w:rsidR="002934C9">
        <w:t>.</w:t>
      </w:r>
      <w:r w:rsidR="002934C9">
        <w:tab/>
      </w:r>
      <w:r w:rsidR="002934C9" w:rsidRPr="00C1131B">
        <w:t xml:space="preserve">Example </w:t>
      </w:r>
      <w:r>
        <w:t>1</w:t>
      </w:r>
      <w:r w:rsidR="00C91ADE">
        <w:t>7</w:t>
      </w:r>
      <w:r w:rsidR="002934C9" w:rsidRPr="00C1131B">
        <w:t xml:space="preserve"> </w:t>
      </w:r>
      <w:r w:rsidR="002934C9">
        <w:t xml:space="preserve">in the text </w:t>
      </w:r>
      <w:r w:rsidR="002934C9" w:rsidRPr="00C1131B">
        <w:t xml:space="preserve">illustrates </w:t>
      </w:r>
      <w:r w:rsidR="002934C9">
        <w:t>that t</w:t>
      </w:r>
      <w:r w:rsidR="002934C9" w:rsidRPr="00C1131B">
        <w:t>he QBI deduction phaseout for a “specified</w:t>
      </w:r>
      <w:r w:rsidR="002934C9">
        <w:t xml:space="preserve"> </w:t>
      </w:r>
      <w:r w:rsidR="002934C9" w:rsidRPr="00C1131B">
        <w:t>services” business is based on taxable income before the QBI deduction (not on QBI).</w:t>
      </w:r>
      <w:r w:rsidR="002934C9">
        <w:t xml:space="preserve"> </w:t>
      </w:r>
      <w:r w:rsidR="002934C9" w:rsidRPr="00C1131B">
        <w:t>Any income that contributes to taxable income can cause the “specified services” QBI</w:t>
      </w:r>
      <w:r w:rsidR="002934C9">
        <w:t xml:space="preserve"> </w:t>
      </w:r>
      <w:r w:rsidR="002934C9" w:rsidRPr="00C1131B">
        <w:t>deduction to be reduced.</w:t>
      </w:r>
    </w:p>
    <w:p w14:paraId="717A8AC4" w14:textId="77777777" w:rsidR="002934C9" w:rsidRDefault="002934C9" w:rsidP="002934C9">
      <w:pPr>
        <w:ind w:left="720" w:hanging="720"/>
      </w:pPr>
    </w:p>
    <w:p w14:paraId="2BD305DC" w14:textId="5595A04A" w:rsidR="004A38A4" w:rsidRDefault="004A38A4" w:rsidP="002934C9">
      <w:pPr>
        <w:ind w:left="720" w:hanging="720"/>
      </w:pPr>
      <w:r>
        <w:t>51.</w:t>
      </w:r>
      <w:r>
        <w:tab/>
        <w:t xml:space="preserve">“Specified Services” Under the </w:t>
      </w:r>
      <w:r w:rsidRPr="00C1131B">
        <w:t>§ 199A</w:t>
      </w:r>
      <w:r>
        <w:t xml:space="preserve"> Regulations. </w:t>
      </w:r>
    </w:p>
    <w:p w14:paraId="5994A562" w14:textId="77777777" w:rsidR="004A38A4" w:rsidRDefault="004A38A4" w:rsidP="002934C9">
      <w:pPr>
        <w:ind w:left="720" w:hanging="720"/>
      </w:pPr>
    </w:p>
    <w:p w14:paraId="68330BA0" w14:textId="311EA2DC" w:rsidR="004A38A4" w:rsidRDefault="004A38A4" w:rsidP="00723D23">
      <w:pPr>
        <w:ind w:left="1440" w:hanging="720"/>
      </w:pPr>
      <w:r>
        <w:t>a.</w:t>
      </w:r>
      <w:r>
        <w:tab/>
        <w:t>The § 199A Regulations provide specific guidance for each of the “specified services” fields identified in § 199A. Exhibit 2.1 in the text provides an overview of this guidance.</w:t>
      </w:r>
    </w:p>
    <w:p w14:paraId="0951E3AD" w14:textId="77777777" w:rsidR="004A38A4" w:rsidRDefault="004A38A4" w:rsidP="00723D23">
      <w:pPr>
        <w:ind w:left="1440" w:hanging="720"/>
      </w:pPr>
    </w:p>
    <w:p w14:paraId="5872C96D" w14:textId="6569357E" w:rsidR="004A38A4" w:rsidRDefault="004A38A4" w:rsidP="00723D23">
      <w:pPr>
        <w:ind w:left="1440" w:hanging="720"/>
      </w:pPr>
      <w:r>
        <w:t>b.</w:t>
      </w:r>
      <w:r>
        <w:tab/>
        <w:t>E</w:t>
      </w:r>
      <w:r w:rsidRPr="004A38A4">
        <w:t>xamples</w:t>
      </w:r>
      <w:r>
        <w:t xml:space="preserve"> 18 through 25 in the text </w:t>
      </w:r>
      <w:r w:rsidRPr="004A38A4">
        <w:t>illustrate these concepts</w:t>
      </w:r>
      <w:r w:rsidR="00B33945">
        <w:t>.</w:t>
      </w:r>
    </w:p>
    <w:p w14:paraId="36997FFC" w14:textId="77777777" w:rsidR="004A38A4" w:rsidRDefault="004A38A4" w:rsidP="002934C9">
      <w:pPr>
        <w:ind w:left="720" w:hanging="720"/>
      </w:pPr>
    </w:p>
    <w:p w14:paraId="39CFC927" w14:textId="5F1B127B" w:rsidR="004A38A4" w:rsidRDefault="004A38A4" w:rsidP="00ED7EB3">
      <w:pPr>
        <w:ind w:left="720" w:hanging="720"/>
      </w:pPr>
      <w:r>
        <w:t>52.</w:t>
      </w:r>
      <w:r>
        <w:tab/>
      </w:r>
      <w:r w:rsidR="00ED7EB3" w:rsidRPr="00723D23">
        <w:rPr>
          <w:i/>
        </w:rPr>
        <w:t>De Minimis</w:t>
      </w:r>
      <w:r w:rsidR="00ED7EB3">
        <w:t xml:space="preserve"> Rule. The § 199A Regulations contain a </w:t>
      </w:r>
      <w:r w:rsidR="00ED7EB3" w:rsidRPr="00723D23">
        <w:rPr>
          <w:i/>
        </w:rPr>
        <w:t>de minimis</w:t>
      </w:r>
      <w:r w:rsidR="00ED7EB3">
        <w:t xml:space="preserve"> rule providing that a trade or business will not be considered a “specified services” business merely because it provides a small amount of services in a “specified service” activity.</w:t>
      </w:r>
    </w:p>
    <w:p w14:paraId="2CA0D658" w14:textId="77777777" w:rsidR="00ED7EB3" w:rsidRDefault="00ED7EB3" w:rsidP="00ED7EB3">
      <w:pPr>
        <w:ind w:left="720" w:hanging="720"/>
      </w:pPr>
    </w:p>
    <w:p w14:paraId="314BC9C2" w14:textId="2630E4F7" w:rsidR="00ED7EB3" w:rsidRDefault="00ED7EB3" w:rsidP="00723D23">
      <w:pPr>
        <w:ind w:left="1440" w:hanging="720"/>
      </w:pPr>
      <w:r>
        <w:t>a.</w:t>
      </w:r>
      <w:r>
        <w:tab/>
        <w:t>If a business has gross receipts of $25 million or less and less than 10% of its receipts relates to a “specified service,” the business will not be a “specified services” business.</w:t>
      </w:r>
    </w:p>
    <w:p w14:paraId="4387DE82" w14:textId="77777777" w:rsidR="00ED7EB3" w:rsidRDefault="00ED7EB3" w:rsidP="00723D23">
      <w:pPr>
        <w:ind w:left="1440" w:hanging="720"/>
      </w:pPr>
    </w:p>
    <w:p w14:paraId="4E70028F" w14:textId="4083B9FA" w:rsidR="00ED7EB3" w:rsidRDefault="00ED7EB3" w:rsidP="00723D23">
      <w:pPr>
        <w:ind w:left="1440" w:hanging="720"/>
      </w:pPr>
      <w:r>
        <w:t>b.</w:t>
      </w:r>
      <w:r>
        <w:tab/>
        <w:t>If the business has gross receipts greater than $25 million, then the test is less than 5% (rather than less than 10%).</w:t>
      </w:r>
    </w:p>
    <w:p w14:paraId="18827AE0" w14:textId="77777777" w:rsidR="00ED7EB3" w:rsidRDefault="00ED7EB3" w:rsidP="00723D23">
      <w:pPr>
        <w:ind w:left="1440" w:hanging="720"/>
      </w:pPr>
    </w:p>
    <w:p w14:paraId="60B09FB1" w14:textId="0095CE7E" w:rsidR="00ED7EB3" w:rsidRDefault="00ED7EB3" w:rsidP="00723D23">
      <w:pPr>
        <w:ind w:left="1440" w:hanging="720"/>
      </w:pPr>
      <w:r>
        <w:t>c.</w:t>
      </w:r>
      <w:r>
        <w:tab/>
        <w:t xml:space="preserve">Whether multiple businesses exist in a single entity depends on “all the facts and circumstances.” At a minimum, separate books and records must be maintained; if they are not, and the “specified services” revenue becomes more than </w:t>
      </w:r>
      <w:r w:rsidRPr="00723D23">
        <w:rPr>
          <w:i/>
        </w:rPr>
        <w:t>de minimis</w:t>
      </w:r>
      <w:r>
        <w:t>, the entire entity is tainted.</w:t>
      </w:r>
    </w:p>
    <w:p w14:paraId="7364B881" w14:textId="77777777" w:rsidR="004A38A4" w:rsidRDefault="004A38A4" w:rsidP="002934C9">
      <w:pPr>
        <w:ind w:left="720" w:hanging="720"/>
      </w:pPr>
    </w:p>
    <w:p w14:paraId="052A6E4D" w14:textId="48C48920" w:rsidR="002934C9" w:rsidRDefault="000B55A7" w:rsidP="002934C9">
      <w:pPr>
        <w:ind w:left="720" w:hanging="720"/>
      </w:pPr>
      <w:r>
        <w:t>5</w:t>
      </w:r>
      <w:r w:rsidR="00ED7EB3">
        <w:t>3</w:t>
      </w:r>
      <w:r w:rsidR="002934C9">
        <w:t>.</w:t>
      </w:r>
      <w:r w:rsidR="002934C9">
        <w:tab/>
      </w:r>
      <w:r w:rsidR="002934C9" w:rsidRPr="00C1131B">
        <w:t xml:space="preserve">Phase-In of the </w:t>
      </w:r>
      <w:r w:rsidR="007E5FE4">
        <w:t>“</w:t>
      </w:r>
      <w:r w:rsidR="002934C9" w:rsidRPr="00C1131B">
        <w:t>Specified Services</w:t>
      </w:r>
      <w:r w:rsidR="007E5FE4">
        <w:t>”</w:t>
      </w:r>
      <w:r w:rsidR="002934C9" w:rsidRPr="00C1131B">
        <w:t xml:space="preserve"> Limit</w:t>
      </w:r>
      <w:r w:rsidR="002934C9">
        <w:t xml:space="preserve">. </w:t>
      </w:r>
    </w:p>
    <w:p w14:paraId="47D6456E" w14:textId="77777777" w:rsidR="002934C9" w:rsidRDefault="002934C9" w:rsidP="002934C9">
      <w:pPr>
        <w:ind w:left="720" w:hanging="720"/>
      </w:pPr>
    </w:p>
    <w:p w14:paraId="0232756A" w14:textId="36CD6897" w:rsidR="002934C9" w:rsidRDefault="002934C9" w:rsidP="002934C9">
      <w:pPr>
        <w:ind w:left="1440" w:hanging="720"/>
      </w:pPr>
      <w:r>
        <w:t>a.</w:t>
      </w:r>
      <w:r>
        <w:tab/>
      </w:r>
      <w:r w:rsidRPr="00C1131B">
        <w:t>In computing the qualified business income with respect to a “specified services” business,</w:t>
      </w:r>
      <w:r>
        <w:t xml:space="preserve"> </w:t>
      </w:r>
      <w:r w:rsidRPr="00C1131B">
        <w:t xml:space="preserve">the taxpayer takes into account only the “applicable percentage” of QBI </w:t>
      </w:r>
      <w:r w:rsidRPr="00C1131B">
        <w:lastRenderedPageBreak/>
        <w:t>and the</w:t>
      </w:r>
      <w:r>
        <w:t xml:space="preserve"> </w:t>
      </w:r>
      <w:r w:rsidRPr="00C1131B">
        <w:t>components of the W</w:t>
      </w:r>
      <w:r w:rsidR="00371EB5">
        <w:sym w:font="Symbol" w:char="F02D"/>
      </w:r>
      <w:r w:rsidRPr="00C1131B">
        <w:t>2 Wages/Capital Investment Limit.</w:t>
      </w:r>
      <w:r>
        <w:t xml:space="preserve"> (See Example </w:t>
      </w:r>
      <w:r w:rsidR="00ED7EB3">
        <w:t>2</w:t>
      </w:r>
      <w:r w:rsidR="000B55A7">
        <w:t>9</w:t>
      </w:r>
      <w:r>
        <w:t xml:space="preserve"> in the text.)</w:t>
      </w:r>
    </w:p>
    <w:p w14:paraId="64CF1EED" w14:textId="77777777" w:rsidR="002934C9" w:rsidRDefault="002934C9" w:rsidP="002934C9">
      <w:pPr>
        <w:ind w:left="1440" w:hanging="720"/>
      </w:pPr>
    </w:p>
    <w:p w14:paraId="78E24582" w14:textId="01324C24" w:rsidR="002934C9" w:rsidRDefault="002934C9" w:rsidP="002934C9">
      <w:pPr>
        <w:ind w:left="1440" w:hanging="720"/>
      </w:pPr>
      <w:r>
        <w:t>b.</w:t>
      </w:r>
      <w:r>
        <w:tab/>
      </w:r>
      <w:r w:rsidRPr="00C1131B">
        <w:t>A second complication with “specified services” businesses with modified taxable</w:t>
      </w:r>
      <w:r>
        <w:t xml:space="preserve"> </w:t>
      </w:r>
      <w:r w:rsidRPr="00C1131B">
        <w:t>income in the phaseout range is that—in addition to the amount of QBI, W</w:t>
      </w:r>
      <w:r w:rsidR="001F243C" w:rsidRPr="00CA383F">
        <w:t>−</w:t>
      </w:r>
      <w:r w:rsidRPr="00C1131B">
        <w:t>2 wages, and</w:t>
      </w:r>
      <w:r>
        <w:t xml:space="preserve"> </w:t>
      </w:r>
      <w:r w:rsidRPr="00C1131B">
        <w:t>unadjusted basis of property being subject to a limitation—the W</w:t>
      </w:r>
      <w:r w:rsidR="00E375A9" w:rsidRPr="00CA383F">
        <w:t>−</w:t>
      </w:r>
      <w:r w:rsidRPr="00C1131B">
        <w:t>2 Wages/Capital Investment</w:t>
      </w:r>
      <w:r>
        <w:t xml:space="preserve"> </w:t>
      </w:r>
      <w:r w:rsidRPr="00C1131B">
        <w:t>limitation might also apply.</w:t>
      </w:r>
      <w:r>
        <w:t xml:space="preserve"> (See Example </w:t>
      </w:r>
      <w:r w:rsidR="00ED7EB3">
        <w:t>3</w:t>
      </w:r>
      <w:r w:rsidR="000B55A7">
        <w:t>0</w:t>
      </w:r>
      <w:r>
        <w:t xml:space="preserve"> in the text.)</w:t>
      </w:r>
      <w:r w:rsidR="00E375A9">
        <w:t xml:space="preserve"> </w:t>
      </w:r>
    </w:p>
    <w:p w14:paraId="1B919426" w14:textId="77777777" w:rsidR="002934C9" w:rsidRDefault="002934C9" w:rsidP="002934C9">
      <w:pPr>
        <w:ind w:left="1440" w:hanging="720"/>
      </w:pPr>
    </w:p>
    <w:p w14:paraId="3AED3C76" w14:textId="64FE72DB" w:rsidR="002934C9" w:rsidRDefault="002934C9" w:rsidP="002934C9">
      <w:pPr>
        <w:ind w:left="1440" w:hanging="720"/>
      </w:pPr>
      <w:r>
        <w:t>c.</w:t>
      </w:r>
      <w:r>
        <w:tab/>
        <w:t xml:space="preserve">Compare Examples </w:t>
      </w:r>
      <w:r w:rsidR="00ED7EB3">
        <w:t>3</w:t>
      </w:r>
      <w:r w:rsidR="000B55A7">
        <w:t>0</w:t>
      </w:r>
      <w:r>
        <w:t xml:space="preserve"> and </w:t>
      </w:r>
      <w:r w:rsidR="00ED7EB3">
        <w:t>3</w:t>
      </w:r>
      <w:r w:rsidR="000B55A7">
        <w:t>2</w:t>
      </w:r>
      <w:r>
        <w:t xml:space="preserve"> in the text to</w:t>
      </w:r>
      <w:r w:rsidRPr="0015408C">
        <w:t xml:space="preserve"> demonstrate the implications (and disadvantages)</w:t>
      </w:r>
      <w:r>
        <w:t xml:space="preserve"> </w:t>
      </w:r>
      <w:r w:rsidRPr="0015408C">
        <w:t>of having a “specified services” business.</w:t>
      </w:r>
    </w:p>
    <w:p w14:paraId="3A355FB9" w14:textId="77777777" w:rsidR="002934C9" w:rsidRDefault="002934C9" w:rsidP="002934C9">
      <w:pPr>
        <w:ind w:left="1440" w:hanging="720"/>
      </w:pPr>
    </w:p>
    <w:p w14:paraId="2CA6026B" w14:textId="10891E21" w:rsidR="002934C9" w:rsidRDefault="002934C9" w:rsidP="002934C9">
      <w:pPr>
        <w:ind w:left="1440" w:hanging="720"/>
      </w:pPr>
      <w:r>
        <w:t>d.</w:t>
      </w:r>
      <w:r>
        <w:tab/>
      </w:r>
      <w:r w:rsidRPr="0015408C">
        <w:t>An even more complex setting is having multiple businesses—some “specified services”</w:t>
      </w:r>
      <w:r>
        <w:t xml:space="preserve"> </w:t>
      </w:r>
      <w:r w:rsidRPr="0015408C">
        <w:t>and others not.</w:t>
      </w:r>
      <w:r>
        <w:t xml:space="preserve"> (See Example </w:t>
      </w:r>
      <w:r w:rsidR="00ED7EB3">
        <w:t>3</w:t>
      </w:r>
      <w:r w:rsidR="000B55A7">
        <w:t>3</w:t>
      </w:r>
      <w:r>
        <w:t xml:space="preserve"> in the text.)</w:t>
      </w:r>
    </w:p>
    <w:p w14:paraId="77B77DE9" w14:textId="721E2742" w:rsidR="002934C9" w:rsidRDefault="002934C9" w:rsidP="002934C9">
      <w:pPr>
        <w:ind w:left="720" w:hanging="720"/>
      </w:pPr>
    </w:p>
    <w:p w14:paraId="09D51075" w14:textId="5C6F515B" w:rsidR="00C932C1" w:rsidRPr="00356A40" w:rsidRDefault="00C972F9" w:rsidP="002934C9">
      <w:pPr>
        <w:ind w:left="720" w:hanging="720"/>
        <w:rPr>
          <w:b/>
          <w:bCs/>
        </w:rPr>
      </w:pPr>
      <w:r w:rsidRPr="00356A40">
        <w:rPr>
          <w:b/>
          <w:bCs/>
        </w:rPr>
        <w:t>Reporting the Qualified Business Income Deduction</w:t>
      </w:r>
    </w:p>
    <w:p w14:paraId="66517621" w14:textId="3590FDAE" w:rsidR="00C932C1" w:rsidRDefault="00C932C1" w:rsidP="002934C9">
      <w:pPr>
        <w:ind w:left="720" w:hanging="720"/>
      </w:pPr>
    </w:p>
    <w:p w14:paraId="25A32378" w14:textId="77777777" w:rsidR="003B22A7" w:rsidRDefault="00C972F9" w:rsidP="003B22A7">
      <w:pPr>
        <w:ind w:left="720" w:hanging="720"/>
      </w:pPr>
      <w:r>
        <w:t>54.</w:t>
      </w:r>
      <w:r>
        <w:tab/>
      </w:r>
      <w:r w:rsidR="003B22A7">
        <w:t>The IRS has developed a series of forms and schedules to determine and report the QBI deduction.</w:t>
      </w:r>
    </w:p>
    <w:p w14:paraId="7E9485B0" w14:textId="77777777" w:rsidR="003B22A7" w:rsidRDefault="003B22A7" w:rsidP="003B22A7">
      <w:pPr>
        <w:ind w:left="1440" w:hanging="720"/>
      </w:pPr>
    </w:p>
    <w:p w14:paraId="22D99BA3" w14:textId="05ADDA0E" w:rsidR="003B22A7" w:rsidRPr="00034DE2" w:rsidRDefault="003B22A7" w:rsidP="003B22A7">
      <w:pPr>
        <w:ind w:left="1440" w:hanging="720"/>
      </w:pPr>
      <w:r w:rsidRPr="007E7A2B">
        <w:t>a.</w:t>
      </w:r>
      <w:r>
        <w:tab/>
        <w:t xml:space="preserve">Form </w:t>
      </w:r>
      <w:r w:rsidRPr="007E7A2B">
        <w:t>8995 (Qualified Business Income Deduction Simplified Computation)</w:t>
      </w:r>
      <w:r>
        <w:t xml:space="preserve"> </w:t>
      </w:r>
      <w:r w:rsidRPr="007E7A2B">
        <w:t>is used when taxable income before the QBI deduction is below the limitation thresholds</w:t>
      </w:r>
      <w:r>
        <w:t xml:space="preserve"> </w:t>
      </w:r>
      <w:r w:rsidRPr="007E7A2B">
        <w:t>for the year</w:t>
      </w:r>
      <w:r w:rsidR="009903C2">
        <w:t xml:space="preserve"> (in 2020, $326,600 for married taxpayers filing jointly and $163,300 for singles and heads of household).</w:t>
      </w:r>
    </w:p>
    <w:p w14:paraId="113488DF" w14:textId="77777777" w:rsidR="003B22A7" w:rsidRDefault="003B22A7" w:rsidP="003B22A7">
      <w:pPr>
        <w:ind w:left="1440" w:hanging="720"/>
      </w:pPr>
    </w:p>
    <w:p w14:paraId="27737F85" w14:textId="77777777" w:rsidR="003B22A7" w:rsidRDefault="003B22A7" w:rsidP="003B22A7">
      <w:pPr>
        <w:ind w:left="1440" w:hanging="720"/>
      </w:pPr>
      <w:r w:rsidRPr="007E7A2B">
        <w:t>b.</w:t>
      </w:r>
      <w:r>
        <w:tab/>
      </w:r>
      <w:r w:rsidRPr="007E7A2B">
        <w:t>Form 8995–A (Qualified Business Income Deduction) is used by taxpayers</w:t>
      </w:r>
      <w:r>
        <w:t xml:space="preserve"> </w:t>
      </w:r>
      <w:r w:rsidRPr="007E7A2B">
        <w:t>whose taxable income before the QBI deduction exceeds the limitation thresholds.</w:t>
      </w:r>
      <w:r>
        <w:t xml:space="preserve"> This form is supplemented by a series of schedules.</w:t>
      </w:r>
    </w:p>
    <w:p w14:paraId="14EFE71D" w14:textId="77777777" w:rsidR="003B22A7" w:rsidRDefault="003B22A7" w:rsidP="003B22A7">
      <w:pPr>
        <w:ind w:left="1440" w:hanging="720"/>
      </w:pPr>
    </w:p>
    <w:p w14:paraId="5281F630" w14:textId="75B73714" w:rsidR="003B22A7" w:rsidRPr="00034DE2" w:rsidRDefault="003B22A7" w:rsidP="003B22A7">
      <w:pPr>
        <w:ind w:left="720" w:hanging="720"/>
      </w:pPr>
      <w:r>
        <w:t>55</w:t>
      </w:r>
      <w:r w:rsidRPr="00B94D6D">
        <w:t>.</w:t>
      </w:r>
      <w:r>
        <w:tab/>
        <w:t>Example 34 in the text illustrates the use of Form 8995–A.</w:t>
      </w:r>
    </w:p>
    <w:p w14:paraId="1660CC16" w14:textId="5ECE612F" w:rsidR="00C972F9" w:rsidRDefault="00C972F9" w:rsidP="002934C9">
      <w:pPr>
        <w:ind w:left="720" w:hanging="720"/>
      </w:pPr>
    </w:p>
    <w:p w14:paraId="1DCF8287" w14:textId="77777777" w:rsidR="00C932C1" w:rsidRPr="005D7214" w:rsidRDefault="00C932C1" w:rsidP="002934C9">
      <w:pPr>
        <w:ind w:left="720" w:hanging="720"/>
      </w:pPr>
    </w:p>
    <w:p w14:paraId="6B0F2CCC" w14:textId="26976FB5" w:rsidR="006E75BF" w:rsidRDefault="006E75BF" w:rsidP="002934C9">
      <w:pPr>
        <w:rPr>
          <w:b/>
        </w:rPr>
      </w:pPr>
      <w:r>
        <w:rPr>
          <w:b/>
        </w:rPr>
        <w:t>Aggregation of Qualified T</w:t>
      </w:r>
      <w:r w:rsidR="00732311">
        <w:rPr>
          <w:b/>
        </w:rPr>
        <w:t>r</w:t>
      </w:r>
      <w:r>
        <w:rPr>
          <w:b/>
        </w:rPr>
        <w:t>ades and Businesses</w:t>
      </w:r>
      <w:r w:rsidR="00732311">
        <w:rPr>
          <w:b/>
        </w:rPr>
        <w:t xml:space="preserve"> Under the </w:t>
      </w:r>
      <w:r w:rsidR="00732311" w:rsidRPr="00723D23">
        <w:rPr>
          <w:b/>
        </w:rPr>
        <w:t>§ 199A Regulations</w:t>
      </w:r>
    </w:p>
    <w:p w14:paraId="1AA52795" w14:textId="77777777" w:rsidR="00732311" w:rsidRDefault="00732311" w:rsidP="002934C9">
      <w:pPr>
        <w:rPr>
          <w:b/>
        </w:rPr>
      </w:pPr>
    </w:p>
    <w:p w14:paraId="4CEC34C7" w14:textId="10C8F394" w:rsidR="00732311" w:rsidRDefault="00732311" w:rsidP="00723D23">
      <w:pPr>
        <w:ind w:left="720" w:hanging="720"/>
      </w:pPr>
      <w:r w:rsidRPr="00723D23">
        <w:t>5</w:t>
      </w:r>
      <w:r w:rsidR="003B22A7">
        <w:t>6</w:t>
      </w:r>
      <w:r w:rsidRPr="00723D23">
        <w:t>.</w:t>
      </w:r>
      <w:r w:rsidR="00AB04BF" w:rsidRPr="00723D23">
        <w:tab/>
      </w:r>
      <w:r w:rsidR="00A350B1">
        <w:t>Each trade or business conducted by an individual or a “relevant pass-through entity” (e.g., a partnership or an S corporation; RPE) is a separate trade or business under §</w:t>
      </w:r>
      <w:r w:rsidR="00B33945">
        <w:t> </w:t>
      </w:r>
      <w:r w:rsidR="00A350B1">
        <w:t>199A. However</w:t>
      </w:r>
      <w:r w:rsidR="00AB04BF">
        <w:t>, taxpayers may aggregate businesses if the following requirements are met.</w:t>
      </w:r>
    </w:p>
    <w:p w14:paraId="169E49F3" w14:textId="77777777" w:rsidR="00AB04BF" w:rsidRDefault="00AB04BF" w:rsidP="00723D23">
      <w:pPr>
        <w:ind w:left="720" w:hanging="720"/>
      </w:pPr>
    </w:p>
    <w:p w14:paraId="5C3F0EFD" w14:textId="76527F28" w:rsidR="00AB04BF" w:rsidRDefault="00AB04BF" w:rsidP="00723D23">
      <w:pPr>
        <w:ind w:left="1440" w:hanging="720"/>
      </w:pPr>
      <w:r>
        <w:t>a.</w:t>
      </w:r>
      <w:r>
        <w:tab/>
        <w:t>There must be control.</w:t>
      </w:r>
    </w:p>
    <w:p w14:paraId="7A2EF3F9" w14:textId="77777777" w:rsidR="00AB04BF" w:rsidRDefault="00AB04BF" w:rsidP="00723D23">
      <w:pPr>
        <w:ind w:left="1440" w:hanging="720"/>
      </w:pPr>
    </w:p>
    <w:p w14:paraId="55E50A5B" w14:textId="5343C01B" w:rsidR="00AB04BF" w:rsidRDefault="00AB04BF" w:rsidP="00723D23">
      <w:pPr>
        <w:ind w:left="1440" w:hanging="720"/>
      </w:pPr>
      <w:r>
        <w:t>b.</w:t>
      </w:r>
      <w:r>
        <w:tab/>
        <w:t>Co</w:t>
      </w:r>
      <w:r w:rsidR="00A350B1">
        <w:t>n</w:t>
      </w:r>
      <w:r>
        <w:t>trol is met for the “majority” of the tax year (which must include the last day of the tax year).</w:t>
      </w:r>
    </w:p>
    <w:p w14:paraId="151EF5FA" w14:textId="77777777" w:rsidR="00AB04BF" w:rsidRDefault="00AB04BF" w:rsidP="00723D23">
      <w:pPr>
        <w:ind w:left="1440" w:hanging="720"/>
      </w:pPr>
    </w:p>
    <w:p w14:paraId="2B971EF2" w14:textId="6EE0258A" w:rsidR="00AB04BF" w:rsidRDefault="00AB04BF" w:rsidP="00723D23">
      <w:pPr>
        <w:ind w:left="1440" w:hanging="720"/>
      </w:pPr>
      <w:r>
        <w:t>c.</w:t>
      </w:r>
      <w:r>
        <w:tab/>
        <w:t>The businesses share the same tax year.</w:t>
      </w:r>
    </w:p>
    <w:p w14:paraId="280D0BA1" w14:textId="77777777" w:rsidR="00AB04BF" w:rsidRDefault="00AB04BF" w:rsidP="00723D23">
      <w:pPr>
        <w:ind w:left="1440" w:hanging="720"/>
      </w:pPr>
    </w:p>
    <w:p w14:paraId="1783F9EE" w14:textId="5F50553E" w:rsidR="00AB04BF" w:rsidRDefault="00AB04BF" w:rsidP="00723D23">
      <w:pPr>
        <w:ind w:left="1440" w:hanging="720"/>
      </w:pPr>
      <w:r>
        <w:lastRenderedPageBreak/>
        <w:t>d.</w:t>
      </w:r>
      <w:r>
        <w:tab/>
        <w:t>None of the businesses are “specified services” businesses.</w:t>
      </w:r>
    </w:p>
    <w:p w14:paraId="27E32330" w14:textId="77777777" w:rsidR="00AB04BF" w:rsidRDefault="00AB04BF" w:rsidP="00723D23">
      <w:pPr>
        <w:ind w:left="1440" w:hanging="720"/>
      </w:pPr>
    </w:p>
    <w:p w14:paraId="4FC99EFC" w14:textId="08352B3E" w:rsidR="00AB04BF" w:rsidRDefault="00AB04BF" w:rsidP="00723D23">
      <w:pPr>
        <w:ind w:left="1440" w:hanging="720"/>
      </w:pPr>
      <w:r>
        <w:t>e.</w:t>
      </w:r>
      <w:r>
        <w:tab/>
        <w:t>The businesses to be aggregated must satisfy two of the following three factors</w:t>
      </w:r>
      <w:r w:rsidR="003B22A7">
        <w:t>.</w:t>
      </w:r>
    </w:p>
    <w:p w14:paraId="04E50C62" w14:textId="77777777" w:rsidR="00AB04BF" w:rsidRDefault="00AB04BF" w:rsidP="00723D23">
      <w:pPr>
        <w:ind w:left="720" w:hanging="720"/>
      </w:pPr>
    </w:p>
    <w:p w14:paraId="1D2DB1F1" w14:textId="21A81275" w:rsidR="00AB04BF" w:rsidRDefault="00AB04BF" w:rsidP="00723D23">
      <w:pPr>
        <w:ind w:left="2160" w:hanging="720"/>
      </w:pPr>
      <w:r>
        <w:t>(1)</w:t>
      </w:r>
      <w:r>
        <w:tab/>
        <w:t>They must provide products or services that are the same or customarily offered together.</w:t>
      </w:r>
    </w:p>
    <w:p w14:paraId="47D8D950" w14:textId="77777777" w:rsidR="00AB04BF" w:rsidRDefault="00AB04BF" w:rsidP="00723D23">
      <w:pPr>
        <w:ind w:left="2160" w:hanging="720"/>
      </w:pPr>
    </w:p>
    <w:p w14:paraId="109BE7B2" w14:textId="1444533E" w:rsidR="00AB04BF" w:rsidRDefault="00AB04BF" w:rsidP="00723D23">
      <w:pPr>
        <w:ind w:left="2160" w:hanging="720"/>
      </w:pPr>
      <w:r>
        <w:t>(2)</w:t>
      </w:r>
      <w:r>
        <w:tab/>
        <w:t>They must share facilities or significant centralized business elements, such as personnel, accounting, legal, manufacturing, purchasing, human resources, or information technology resources.</w:t>
      </w:r>
    </w:p>
    <w:p w14:paraId="1C3A3F60" w14:textId="77777777" w:rsidR="00AB04BF" w:rsidRDefault="00AB04BF" w:rsidP="00723D23">
      <w:pPr>
        <w:ind w:left="2160" w:hanging="720"/>
      </w:pPr>
    </w:p>
    <w:p w14:paraId="6802EF7B" w14:textId="66B17141" w:rsidR="00AB04BF" w:rsidRDefault="00AB04BF" w:rsidP="00723D23">
      <w:pPr>
        <w:ind w:left="2160" w:hanging="720"/>
      </w:pPr>
      <w:r>
        <w:t>(3)</w:t>
      </w:r>
      <w:r>
        <w:tab/>
        <w:t>The businesses are operated in coordination with, or reliance upon, one or more of the businesses in the aggregated group.</w:t>
      </w:r>
    </w:p>
    <w:p w14:paraId="4052C9C4" w14:textId="77777777" w:rsidR="00AB04BF" w:rsidRDefault="00AB04BF" w:rsidP="00723D23">
      <w:pPr>
        <w:ind w:left="720" w:hanging="720"/>
      </w:pPr>
    </w:p>
    <w:p w14:paraId="60048B18" w14:textId="7AC89F05" w:rsidR="00686511" w:rsidRDefault="00AB04BF" w:rsidP="00686511">
      <w:pPr>
        <w:ind w:left="720" w:hanging="720"/>
      </w:pPr>
      <w:r>
        <w:t>5</w:t>
      </w:r>
      <w:r w:rsidR="003B22A7">
        <w:t>7</w:t>
      </w:r>
      <w:r>
        <w:t>.</w:t>
      </w:r>
      <w:r>
        <w:tab/>
      </w:r>
      <w:r w:rsidR="00686511">
        <w:t>Aggregation can be done by either an owner or an RPE. If an RPE chooses to aggregate, the owners of the RPE are bound by that aggregation. If an RPE does not aggregate, the RPE owners need not aggregate in the same manner. As a result, one owner may choose to aggregate that business with another business while a second owner may not choose to do so.</w:t>
      </w:r>
    </w:p>
    <w:p w14:paraId="7DF4CB29" w14:textId="77777777" w:rsidR="00686511" w:rsidRDefault="00686511" w:rsidP="00686511">
      <w:pPr>
        <w:ind w:left="720" w:hanging="720"/>
      </w:pPr>
    </w:p>
    <w:p w14:paraId="295902A5" w14:textId="7D89772D" w:rsidR="00686511" w:rsidRDefault="00686511" w:rsidP="00686511">
      <w:pPr>
        <w:ind w:left="720" w:hanging="720"/>
      </w:pPr>
      <w:r>
        <w:t>5</w:t>
      </w:r>
      <w:r w:rsidR="003B22A7">
        <w:t>8</w:t>
      </w:r>
      <w:r>
        <w:t>.</w:t>
      </w:r>
      <w:r>
        <w:tab/>
        <w:t>Aggregation is optional and generally cannot be changed once businesses are aggregated.</w:t>
      </w:r>
    </w:p>
    <w:p w14:paraId="43134769" w14:textId="29D2FBC5" w:rsidR="00AB04BF" w:rsidRDefault="00AB04BF" w:rsidP="00723D23">
      <w:pPr>
        <w:ind w:left="720" w:hanging="720"/>
      </w:pPr>
    </w:p>
    <w:p w14:paraId="1E11899D" w14:textId="36CFA205" w:rsidR="00686511" w:rsidRPr="00723D23" w:rsidRDefault="00686511" w:rsidP="00723D23">
      <w:pPr>
        <w:ind w:left="720" w:hanging="720"/>
      </w:pPr>
      <w:r>
        <w:t>5</w:t>
      </w:r>
      <w:r w:rsidR="003B22A7">
        <w:t>9</w:t>
      </w:r>
      <w:r>
        <w:t>.</w:t>
      </w:r>
      <w:r>
        <w:tab/>
        <w:t>Key point: The owner does not have to own more than 50% of each business directly; rather, he or she must simply establish that a group of persons owns 50% or more of all of the entities the owner wants to aggregate. (See Example 3</w:t>
      </w:r>
      <w:r w:rsidR="003B22A7">
        <w:t>8</w:t>
      </w:r>
      <w:r>
        <w:t xml:space="preserve"> in the text.)</w:t>
      </w:r>
    </w:p>
    <w:p w14:paraId="403673CA" w14:textId="77777777" w:rsidR="006E75BF" w:rsidRDefault="006E75BF" w:rsidP="002934C9">
      <w:pPr>
        <w:rPr>
          <w:b/>
        </w:rPr>
      </w:pPr>
    </w:p>
    <w:p w14:paraId="362A0597" w14:textId="77777777" w:rsidR="00E76FAD" w:rsidRDefault="00E76FAD" w:rsidP="002934C9">
      <w:pPr>
        <w:rPr>
          <w:b/>
        </w:rPr>
      </w:pPr>
      <w:r>
        <w:rPr>
          <w:b/>
        </w:rPr>
        <w:t>Treatment of Losses</w:t>
      </w:r>
    </w:p>
    <w:p w14:paraId="29F195D5" w14:textId="3F5879E4" w:rsidR="00E76FAD" w:rsidRDefault="00E76FAD" w:rsidP="002934C9">
      <w:pPr>
        <w:rPr>
          <w:b/>
        </w:rPr>
      </w:pPr>
    </w:p>
    <w:p w14:paraId="4048E630" w14:textId="26BD1693" w:rsidR="001059F4" w:rsidRDefault="003B22A7" w:rsidP="001059F4">
      <w:pPr>
        <w:ind w:left="720" w:hanging="720"/>
      </w:pPr>
      <w:r>
        <w:t>60</w:t>
      </w:r>
      <w:r w:rsidR="001059F4">
        <w:t>.</w:t>
      </w:r>
      <w:r w:rsidR="001059F4">
        <w:tab/>
        <w:t>If a taxpayer has a qualified business loss in one year, no QBI deduction is allowed, and the loss is carried over to the next year to reduce QBI (but not below zero).</w:t>
      </w:r>
    </w:p>
    <w:p w14:paraId="1B9F0CDE" w14:textId="77DAB4B3" w:rsidR="001059F4" w:rsidRDefault="001059F4" w:rsidP="001059F4">
      <w:pPr>
        <w:ind w:left="720" w:hanging="720"/>
      </w:pPr>
    </w:p>
    <w:p w14:paraId="1C533E6D" w14:textId="54F4C107" w:rsidR="001059F4" w:rsidRDefault="003B22A7" w:rsidP="001059F4">
      <w:pPr>
        <w:ind w:left="720" w:hanging="720"/>
      </w:pPr>
      <w:r>
        <w:t>61</w:t>
      </w:r>
      <w:r w:rsidR="001059F4">
        <w:t>.</w:t>
      </w:r>
      <w:r w:rsidR="001059F4">
        <w:tab/>
        <w:t xml:space="preserve">The statute indicates that if a taxpayer has more than one QTB and the net results of all businesses create a loss, the net loss is carried forward to the following year. (See Example </w:t>
      </w:r>
      <w:r>
        <w:t xml:space="preserve">40 </w:t>
      </w:r>
      <w:r w:rsidR="001059F4">
        <w:t>in the text.)</w:t>
      </w:r>
    </w:p>
    <w:p w14:paraId="074C2863" w14:textId="77777777" w:rsidR="00686511" w:rsidRDefault="00686511" w:rsidP="001059F4">
      <w:pPr>
        <w:ind w:left="720" w:hanging="720"/>
      </w:pPr>
    </w:p>
    <w:p w14:paraId="0FB61B7C" w14:textId="49E78A31" w:rsidR="00686511" w:rsidRDefault="00686511" w:rsidP="00686511">
      <w:pPr>
        <w:ind w:left="720" w:hanging="720"/>
      </w:pPr>
      <w:r>
        <w:t>6</w:t>
      </w:r>
      <w:r w:rsidR="003B22A7">
        <w:t>2</w:t>
      </w:r>
      <w:r>
        <w:t>.</w:t>
      </w:r>
      <w:r>
        <w:tab/>
        <w:t>Where a taxpayer’s netting of all positive and negative QBI is positive, and at least one business produces negative QBI, an “adjusted QBI” is determined by allocating the negative QBI among all of the businesses that produce QBI in proportion to their respective amounts of QBI. By requiring the allocation of the loss across all of the businesses that generate QBI, the § 199A Regulations prevent taxpayers from selectively allocating the loss to businesses that will have limited (or no) QBI deduction. (See Examples 4</w:t>
      </w:r>
      <w:r w:rsidR="003B22A7">
        <w:t>1</w:t>
      </w:r>
      <w:r>
        <w:t xml:space="preserve"> through 4</w:t>
      </w:r>
      <w:r w:rsidR="003B22A7">
        <w:t>3</w:t>
      </w:r>
      <w:r>
        <w:t xml:space="preserve"> in the text.)</w:t>
      </w:r>
    </w:p>
    <w:p w14:paraId="6783B785" w14:textId="6F81D369" w:rsidR="001059F4" w:rsidRDefault="001059F4" w:rsidP="001059F4">
      <w:pPr>
        <w:ind w:left="720" w:hanging="720"/>
      </w:pPr>
    </w:p>
    <w:p w14:paraId="7600B378" w14:textId="77777777" w:rsidR="00A53557" w:rsidRDefault="00A53557">
      <w:pPr>
        <w:rPr>
          <w:b/>
        </w:rPr>
      </w:pPr>
      <w:r>
        <w:rPr>
          <w:b/>
        </w:rPr>
        <w:br w:type="page"/>
      </w:r>
    </w:p>
    <w:p w14:paraId="47D1D5E3" w14:textId="2FCA1126" w:rsidR="00E76FAD" w:rsidRDefault="00E76FAD" w:rsidP="002934C9">
      <w:pPr>
        <w:rPr>
          <w:b/>
        </w:rPr>
      </w:pPr>
      <w:r>
        <w:rPr>
          <w:b/>
        </w:rPr>
        <w:lastRenderedPageBreak/>
        <w:t>Coordination with Other Rules</w:t>
      </w:r>
    </w:p>
    <w:p w14:paraId="41AB629F" w14:textId="5503AFD2" w:rsidR="00E76FAD" w:rsidRDefault="00E76FAD" w:rsidP="002934C9">
      <w:pPr>
        <w:rPr>
          <w:b/>
        </w:rPr>
      </w:pPr>
    </w:p>
    <w:p w14:paraId="097CF16C" w14:textId="52AD476D" w:rsidR="001059F4" w:rsidRDefault="00686511" w:rsidP="001059F4">
      <w:pPr>
        <w:ind w:left="720" w:hanging="720"/>
      </w:pPr>
      <w:r>
        <w:t>6</w:t>
      </w:r>
      <w:r w:rsidR="003B22A7">
        <w:t>3</w:t>
      </w:r>
      <w:r w:rsidR="001059F4" w:rsidRPr="001059F4">
        <w:t>.</w:t>
      </w:r>
      <w:r w:rsidR="001059F4" w:rsidRPr="001059F4">
        <w:tab/>
      </w:r>
      <w:r w:rsidR="001059F4">
        <w:t>The deduction for qualified business income operates along with other rules (e.g., how to determine business income).</w:t>
      </w:r>
    </w:p>
    <w:p w14:paraId="62FF607D" w14:textId="71D358AC" w:rsidR="001059F4" w:rsidRDefault="001059F4" w:rsidP="001059F4">
      <w:pPr>
        <w:ind w:left="720" w:hanging="720"/>
      </w:pPr>
    </w:p>
    <w:p w14:paraId="53FDC069" w14:textId="5C9A0154" w:rsidR="001059F4" w:rsidRDefault="00686511" w:rsidP="001059F4">
      <w:pPr>
        <w:ind w:left="720" w:hanging="720"/>
      </w:pPr>
      <w:r>
        <w:t>6</w:t>
      </w:r>
      <w:r w:rsidR="003B22A7">
        <w:t>4</w:t>
      </w:r>
      <w:r w:rsidR="001059F4">
        <w:t>.</w:t>
      </w:r>
      <w:r w:rsidR="001059F4">
        <w:tab/>
        <w:t>The QBI deduction does not reduce the tax bases for self-employment taxes or the net investment income tax (NIIT).</w:t>
      </w:r>
    </w:p>
    <w:p w14:paraId="1795DD1D" w14:textId="04308FE1" w:rsidR="001059F4" w:rsidRDefault="001059F4" w:rsidP="001059F4">
      <w:pPr>
        <w:ind w:left="720" w:hanging="720"/>
      </w:pPr>
    </w:p>
    <w:p w14:paraId="560C6CD3" w14:textId="1B31E077" w:rsidR="001059F4" w:rsidRDefault="00686511" w:rsidP="001059F4">
      <w:pPr>
        <w:ind w:left="720" w:hanging="720"/>
      </w:pPr>
      <w:r>
        <w:t>6</w:t>
      </w:r>
      <w:r w:rsidR="003B22A7">
        <w:t>5</w:t>
      </w:r>
      <w:r w:rsidR="001059F4">
        <w:t>.</w:t>
      </w:r>
      <w:r w:rsidR="001059F4">
        <w:tab/>
        <w:t>In computing an individual’s alternative minimum taxable income (AMTI), qualified business income is not changed by any of the AMT’s preferences or adjustments (like depreciation), that usually apply in determining AMTI.</w:t>
      </w:r>
    </w:p>
    <w:p w14:paraId="4A5512D9" w14:textId="77777777" w:rsidR="001059F4" w:rsidRPr="001059F4" w:rsidRDefault="001059F4" w:rsidP="001059F4">
      <w:pPr>
        <w:ind w:left="720" w:hanging="720"/>
      </w:pPr>
    </w:p>
    <w:p w14:paraId="3C0F7E64" w14:textId="77777777" w:rsidR="00E76FAD" w:rsidRDefault="00E76FAD" w:rsidP="002934C9">
      <w:pPr>
        <w:rPr>
          <w:b/>
        </w:rPr>
      </w:pPr>
      <w:r>
        <w:rPr>
          <w:b/>
        </w:rPr>
        <w:t>Considerations for Partnerships and S Corporations</w:t>
      </w:r>
    </w:p>
    <w:p w14:paraId="04B49634" w14:textId="42F3F7FF" w:rsidR="00E76FAD" w:rsidRDefault="00E76FAD" w:rsidP="002934C9"/>
    <w:p w14:paraId="247DCC87" w14:textId="637CECC0" w:rsidR="001059F4" w:rsidRDefault="00684999" w:rsidP="001059F4">
      <w:pPr>
        <w:ind w:left="720" w:hanging="720"/>
      </w:pPr>
      <w:r>
        <w:t>6</w:t>
      </w:r>
      <w:r w:rsidR="003B22A7">
        <w:t>6</w:t>
      </w:r>
      <w:r w:rsidR="001059F4">
        <w:t>.</w:t>
      </w:r>
      <w:r w:rsidR="001059F4">
        <w:tab/>
        <w:t>The deduction for qualified business income applies to taxpayers other than corporations. The QBI deduction is available to individuals, trusts, and estates.</w:t>
      </w:r>
    </w:p>
    <w:p w14:paraId="73356C55" w14:textId="4D3E8A09" w:rsidR="001059F4" w:rsidRDefault="001059F4" w:rsidP="001059F4">
      <w:pPr>
        <w:ind w:left="720" w:hanging="720"/>
      </w:pPr>
    </w:p>
    <w:p w14:paraId="73425ED9" w14:textId="159A3A16" w:rsidR="001059F4" w:rsidRDefault="00684999" w:rsidP="001059F4">
      <w:pPr>
        <w:ind w:left="720" w:hanging="720"/>
      </w:pPr>
      <w:r>
        <w:t>6</w:t>
      </w:r>
      <w:r w:rsidR="003B22A7">
        <w:t>7</w:t>
      </w:r>
      <w:r w:rsidR="001059F4">
        <w:t>.</w:t>
      </w:r>
      <w:r w:rsidR="001059F4">
        <w:tab/>
        <w:t xml:space="preserve">Although the earlier examples involved sole proprietors, the same result would occur if the business income was instead generated by a partnership or S corporation. (See Example </w:t>
      </w:r>
      <w:r>
        <w:t>4</w:t>
      </w:r>
      <w:r w:rsidR="003B22A7">
        <w:t>4</w:t>
      </w:r>
      <w:r>
        <w:t xml:space="preserve"> </w:t>
      </w:r>
      <w:r w:rsidR="001059F4">
        <w:t>in the text.)</w:t>
      </w:r>
    </w:p>
    <w:p w14:paraId="3B8B8181" w14:textId="49F35CDD" w:rsidR="001059F4" w:rsidRDefault="001059F4" w:rsidP="001059F4">
      <w:pPr>
        <w:ind w:left="720" w:hanging="720"/>
      </w:pPr>
    </w:p>
    <w:p w14:paraId="183E6E04" w14:textId="69FC8B64" w:rsidR="001059F4" w:rsidRDefault="00684999" w:rsidP="001059F4">
      <w:pPr>
        <w:ind w:left="720" w:hanging="720"/>
      </w:pPr>
      <w:r>
        <w:t>6</w:t>
      </w:r>
      <w:r w:rsidR="003B22A7">
        <w:t>8</w:t>
      </w:r>
      <w:r w:rsidR="001059F4">
        <w:t>.</w:t>
      </w:r>
      <w:r w:rsidR="001059F4">
        <w:tab/>
        <w:t xml:space="preserve">Partnerships and S corporations might use a tax year other than a calendar year. (See Example </w:t>
      </w:r>
      <w:r>
        <w:t>4</w:t>
      </w:r>
      <w:r w:rsidR="003B22A7">
        <w:t>5</w:t>
      </w:r>
      <w:r>
        <w:t xml:space="preserve"> </w:t>
      </w:r>
      <w:r w:rsidR="001059F4">
        <w:t>in the text.)</w:t>
      </w:r>
    </w:p>
    <w:p w14:paraId="752F0FA7" w14:textId="77777777" w:rsidR="001059F4" w:rsidRPr="001059F4" w:rsidRDefault="001059F4" w:rsidP="001059F4">
      <w:pPr>
        <w:ind w:left="720" w:hanging="720"/>
      </w:pPr>
    </w:p>
    <w:p w14:paraId="27E9E505" w14:textId="576F7798" w:rsidR="00E76FAD" w:rsidRDefault="00684999" w:rsidP="002934C9">
      <w:pPr>
        <w:rPr>
          <w:b/>
        </w:rPr>
      </w:pPr>
      <w:r>
        <w:rPr>
          <w:b/>
        </w:rPr>
        <w:t xml:space="preserve">Other Items in the </w:t>
      </w:r>
      <w:r w:rsidRPr="00684999">
        <w:rPr>
          <w:b/>
        </w:rPr>
        <w:t>§</w:t>
      </w:r>
      <w:r>
        <w:rPr>
          <w:b/>
        </w:rPr>
        <w:t xml:space="preserve"> 199A Regulations</w:t>
      </w:r>
    </w:p>
    <w:p w14:paraId="2C5AD9A2" w14:textId="061A8D2D" w:rsidR="00E76FAD" w:rsidRDefault="00E76FAD" w:rsidP="002934C9"/>
    <w:p w14:paraId="281A18CC" w14:textId="187C6D86" w:rsidR="00684999" w:rsidRDefault="001059F4" w:rsidP="00684999">
      <w:pPr>
        <w:ind w:left="720" w:hanging="720"/>
      </w:pPr>
      <w:r>
        <w:t>6</w:t>
      </w:r>
      <w:r w:rsidR="003B22A7">
        <w:t>9</w:t>
      </w:r>
      <w:r>
        <w:t>.</w:t>
      </w:r>
      <w:r>
        <w:tab/>
      </w:r>
      <w:r w:rsidR="00684999">
        <w:t>Employee Turned Independent Contractor. An individual who was an employee of an employer and becomes an independent contractor while providing substantially the same services (either directly or indirectly through another entity) is presumed, for a three-year period, still to be an employee. This presumption may be overturned if it can be demonstrated—using common law and statutory rules—that the individual is not an employee.</w:t>
      </w:r>
    </w:p>
    <w:p w14:paraId="13DFF505" w14:textId="77777777" w:rsidR="00684999" w:rsidRDefault="00684999" w:rsidP="00684999">
      <w:pPr>
        <w:ind w:left="720" w:hanging="720"/>
      </w:pPr>
    </w:p>
    <w:p w14:paraId="43A6BDC8" w14:textId="78825A42" w:rsidR="001059F4" w:rsidRDefault="003B22A7" w:rsidP="00684999">
      <w:pPr>
        <w:ind w:left="720" w:hanging="720"/>
      </w:pPr>
      <w:r>
        <w:t>70</w:t>
      </w:r>
      <w:r w:rsidR="00684999">
        <w:t>.</w:t>
      </w:r>
      <w:r w:rsidR="00684999">
        <w:tab/>
        <w:t>Determination of “W–2 Wages.” A business can take into account any W–2 wages paid by another business provided that the W–2 wages were paid to “common law employees or officers” of that business.</w:t>
      </w:r>
    </w:p>
    <w:p w14:paraId="1AC51CBA" w14:textId="5F2F6C77" w:rsidR="001059F4" w:rsidRDefault="001059F4" w:rsidP="001059F4">
      <w:pPr>
        <w:ind w:left="720" w:hanging="720"/>
      </w:pPr>
    </w:p>
    <w:p w14:paraId="3960F5B6" w14:textId="7E0E725D" w:rsidR="001059F4" w:rsidRDefault="001059F4" w:rsidP="00684999">
      <w:pPr>
        <w:ind w:left="1440" w:hanging="720"/>
      </w:pPr>
      <w:r>
        <w:t>a.</w:t>
      </w:r>
      <w:r>
        <w:tab/>
      </w:r>
      <w:r w:rsidR="00684999">
        <w:t>A business using a professional employer organization (PEO) to manage parts of its business (e.g., human resources) or to lease employees can use an allocable portion of the PEO’s W–2 wages in determining its total W–2 wages.</w:t>
      </w:r>
    </w:p>
    <w:p w14:paraId="4C5942D9" w14:textId="7FA43973" w:rsidR="001059F4" w:rsidRDefault="001059F4" w:rsidP="001059F4">
      <w:pPr>
        <w:ind w:left="1440" w:hanging="720"/>
      </w:pPr>
    </w:p>
    <w:p w14:paraId="7406AE10" w14:textId="5DE396D2" w:rsidR="00684999" w:rsidRDefault="001059F4" w:rsidP="00684999">
      <w:pPr>
        <w:spacing w:after="180"/>
        <w:ind w:left="1440" w:hanging="720"/>
      </w:pPr>
      <w:r>
        <w:t>b.</w:t>
      </w:r>
      <w:r>
        <w:tab/>
      </w:r>
      <w:r w:rsidR="00684999">
        <w:t>The business that actually paid and reported the W–2 wages must reduce its §</w:t>
      </w:r>
      <w:r w:rsidR="00B33945">
        <w:t> </w:t>
      </w:r>
      <w:r w:rsidR="00684999">
        <w:t>199A wages by the same amount.</w:t>
      </w:r>
    </w:p>
    <w:p w14:paraId="47D7CD0B" w14:textId="77777777" w:rsidR="00A53557" w:rsidRDefault="00A53557">
      <w:r>
        <w:br w:type="page"/>
      </w:r>
    </w:p>
    <w:p w14:paraId="63ACBC4D" w14:textId="13F20C8A" w:rsidR="00684999" w:rsidRDefault="003B22A7" w:rsidP="00723D23">
      <w:pPr>
        <w:ind w:left="720" w:hanging="720"/>
      </w:pPr>
      <w:bookmarkStart w:id="3" w:name="_GoBack"/>
      <w:bookmarkEnd w:id="3"/>
      <w:r>
        <w:lastRenderedPageBreak/>
        <w:t>71</w:t>
      </w:r>
      <w:r w:rsidR="00684999">
        <w:t>.</w:t>
      </w:r>
      <w:r w:rsidR="00684999">
        <w:tab/>
      </w:r>
      <w:r w:rsidR="00684999" w:rsidRPr="00684999">
        <w:t>Determination of Unadjusted Basis Immediately After Acquisition (UBIA)</w:t>
      </w:r>
      <w:r w:rsidR="00684999">
        <w:t>. For purchased or produced property, UBIA generally will be the property’s cost (under §</w:t>
      </w:r>
      <w:r w:rsidR="00B33945">
        <w:t> </w:t>
      </w:r>
      <w:r w:rsidR="00684999">
        <w:t>1012) when the property is placed in service.</w:t>
      </w:r>
    </w:p>
    <w:p w14:paraId="47F108DC" w14:textId="58BA099B" w:rsidR="001059F4" w:rsidRDefault="001059F4" w:rsidP="00723D23">
      <w:pPr>
        <w:ind w:left="720" w:hanging="720"/>
      </w:pPr>
    </w:p>
    <w:p w14:paraId="307A8E50" w14:textId="417CDC40" w:rsidR="001059F4" w:rsidRDefault="00684999" w:rsidP="00684999">
      <w:pPr>
        <w:spacing w:after="180"/>
        <w:ind w:left="1440" w:hanging="720"/>
      </w:pPr>
      <w:r>
        <w:t>a</w:t>
      </w:r>
      <w:r w:rsidR="001059F4">
        <w:t>.</w:t>
      </w:r>
      <w:r w:rsidR="001059F4">
        <w:tab/>
      </w:r>
      <w:r>
        <w:t>An addition or improvement to qualified property already placed in service is treated as separate qualified property on the date the addition or improvement is placed in service.</w:t>
      </w:r>
    </w:p>
    <w:p w14:paraId="633E590F" w14:textId="4B66864F" w:rsidR="001059F4" w:rsidRPr="001059F4" w:rsidRDefault="00684999" w:rsidP="00723D23">
      <w:pPr>
        <w:ind w:left="1440" w:hanging="720"/>
      </w:pPr>
      <w:r>
        <w:t>b</w:t>
      </w:r>
      <w:r w:rsidR="001059F4">
        <w:t>.</w:t>
      </w:r>
      <w:r w:rsidR="001059F4">
        <w:tab/>
      </w:r>
      <w:r>
        <w:t>For purposes of the QBI deduction, property is not qualified property if it is acquired within 60 days of the end of the tax year and disposed of within 120 days without having been used in a trade or business for at least 45 days prior to disposition, unless the taxpayer demonstrates that the principal purpose of the acquisition and disposition was a purpose other than increasing the QBI deduction</w:t>
      </w:r>
      <w:r w:rsidR="00903889">
        <w:t>.</w:t>
      </w:r>
    </w:p>
    <w:p w14:paraId="071AE439" w14:textId="77777777" w:rsidR="00723D23" w:rsidRDefault="00723D23" w:rsidP="00CE42A9">
      <w:pPr>
        <w:rPr>
          <w:b/>
        </w:rPr>
      </w:pPr>
    </w:p>
    <w:p w14:paraId="5B10B7D1" w14:textId="6381D6D0" w:rsidR="00CE42A9" w:rsidRDefault="00E76FAD" w:rsidP="00CE42A9">
      <w:pPr>
        <w:rPr>
          <w:b/>
        </w:rPr>
      </w:pPr>
      <w:r>
        <w:rPr>
          <w:b/>
        </w:rPr>
        <w:t>TAX PLANNING</w:t>
      </w:r>
    </w:p>
    <w:p w14:paraId="653362E3" w14:textId="7E3C4FB0" w:rsidR="00E76FAD" w:rsidRDefault="00E76FAD" w:rsidP="00CE42A9">
      <w:pPr>
        <w:rPr>
          <w:b/>
        </w:rPr>
      </w:pPr>
    </w:p>
    <w:p w14:paraId="6ACA16A9" w14:textId="779FB9D6" w:rsidR="00E76FAD" w:rsidRDefault="00E76FAD" w:rsidP="00E76FAD">
      <w:pPr>
        <w:rPr>
          <w:b/>
        </w:rPr>
      </w:pPr>
      <w:r w:rsidRPr="00E76FAD">
        <w:rPr>
          <w:b/>
        </w:rPr>
        <w:t>Corporate versus Noncorporate Forms of Business</w:t>
      </w:r>
      <w:r>
        <w:rPr>
          <w:b/>
        </w:rPr>
        <w:t xml:space="preserve"> </w:t>
      </w:r>
      <w:r w:rsidRPr="00E76FAD">
        <w:rPr>
          <w:b/>
        </w:rPr>
        <w:t>Organization</w:t>
      </w:r>
    </w:p>
    <w:p w14:paraId="45A9326A" w14:textId="0F317A3F" w:rsidR="00E76FAD" w:rsidRDefault="00E76FAD" w:rsidP="00E76FAD">
      <w:pPr>
        <w:rPr>
          <w:b/>
        </w:rPr>
      </w:pPr>
    </w:p>
    <w:p w14:paraId="782B8E69" w14:textId="59774F7D" w:rsidR="00FF4ED9" w:rsidRDefault="00DC3290" w:rsidP="00FF4ED9">
      <w:pPr>
        <w:ind w:left="720" w:hanging="720"/>
      </w:pPr>
      <w:r>
        <w:t>7</w:t>
      </w:r>
      <w:r w:rsidR="003B22A7">
        <w:t>2</w:t>
      </w:r>
      <w:r w:rsidR="00FF4ED9">
        <w:t>.</w:t>
      </w:r>
      <w:r w:rsidR="00FF4ED9">
        <w:tab/>
        <w:t>The form of business organization affects the application of various tax rules including tax rates, deductions, tax accounting methods, and tax years.</w:t>
      </w:r>
    </w:p>
    <w:p w14:paraId="263B2CB5" w14:textId="1B3C37F4" w:rsidR="00FF4ED9" w:rsidRDefault="00FF4ED9" w:rsidP="00FF4ED9">
      <w:pPr>
        <w:ind w:left="720" w:hanging="720"/>
      </w:pPr>
    </w:p>
    <w:p w14:paraId="703B481B" w14:textId="453C8BE5" w:rsidR="00FF4ED9" w:rsidRDefault="00DC3290" w:rsidP="00FF4ED9">
      <w:pPr>
        <w:ind w:left="720" w:hanging="720"/>
      </w:pPr>
      <w:r>
        <w:t>7</w:t>
      </w:r>
      <w:r w:rsidR="00356A40">
        <w:t>3</w:t>
      </w:r>
      <w:r w:rsidR="00FF4ED9">
        <w:t>.</w:t>
      </w:r>
      <w:r w:rsidR="00FF4ED9">
        <w:tab/>
      </w:r>
      <w:r w:rsidR="00FF4ED9" w:rsidRPr="00FF4ED9">
        <w:t>The decision on what form to use can change as a business grows.</w:t>
      </w:r>
    </w:p>
    <w:p w14:paraId="7673DACA" w14:textId="77777777" w:rsidR="00FF4ED9" w:rsidRPr="00FF4ED9" w:rsidRDefault="00FF4ED9" w:rsidP="00FF4ED9">
      <w:pPr>
        <w:ind w:left="720" w:hanging="720"/>
      </w:pPr>
    </w:p>
    <w:p w14:paraId="5E488ACD" w14:textId="6D72AC8E" w:rsidR="00E76FAD" w:rsidRDefault="00E76FAD" w:rsidP="00E76FAD">
      <w:pPr>
        <w:rPr>
          <w:b/>
        </w:rPr>
      </w:pPr>
      <w:r w:rsidRPr="00E76FAD">
        <w:rPr>
          <w:b/>
        </w:rPr>
        <w:t>Optimizing the Deduction for Qualified Business</w:t>
      </w:r>
      <w:r>
        <w:rPr>
          <w:b/>
        </w:rPr>
        <w:t xml:space="preserve"> </w:t>
      </w:r>
      <w:r w:rsidRPr="00E76FAD">
        <w:rPr>
          <w:b/>
        </w:rPr>
        <w:t>Income</w:t>
      </w:r>
    </w:p>
    <w:p w14:paraId="6352AB0F" w14:textId="65A335FE" w:rsidR="00E76FAD" w:rsidRDefault="00E76FAD" w:rsidP="00E76FAD">
      <w:pPr>
        <w:rPr>
          <w:b/>
        </w:rPr>
      </w:pPr>
    </w:p>
    <w:p w14:paraId="079C7224" w14:textId="3E703573" w:rsidR="00FF4ED9" w:rsidRDefault="00DC3290" w:rsidP="00FF4ED9">
      <w:pPr>
        <w:ind w:left="720" w:hanging="720"/>
      </w:pPr>
      <w:r>
        <w:t>7</w:t>
      </w:r>
      <w:r w:rsidR="00356A40">
        <w:t>4</w:t>
      </w:r>
      <w:r w:rsidR="00FF4ED9">
        <w:t>.</w:t>
      </w:r>
      <w:r w:rsidR="00FF4ED9">
        <w:tab/>
        <w:t xml:space="preserve">Some planning is possible to increase the deduction or perhaps to avoid losing the deduction. </w:t>
      </w:r>
    </w:p>
    <w:p w14:paraId="510B7FE5" w14:textId="77777777" w:rsidR="00FF4ED9" w:rsidRDefault="00FF4ED9" w:rsidP="00FF4ED9">
      <w:pPr>
        <w:ind w:left="720" w:hanging="720"/>
      </w:pPr>
    </w:p>
    <w:p w14:paraId="12116C18" w14:textId="15516352" w:rsidR="00FF4ED9" w:rsidRDefault="00FF4ED9" w:rsidP="00371EB5">
      <w:pPr>
        <w:spacing w:after="180"/>
        <w:ind w:left="1440" w:hanging="720"/>
      </w:pPr>
      <w:r>
        <w:t>a.</w:t>
      </w:r>
      <w:r>
        <w:tab/>
        <w:t>For taxpayers with taxable income above the threshold</w:t>
      </w:r>
      <w:r w:rsidR="00DC3290">
        <w:t>s</w:t>
      </w:r>
      <w:r>
        <w:t xml:space="preserve"> ($3</w:t>
      </w:r>
      <w:r w:rsidR="00DC3290">
        <w:t>2</w:t>
      </w:r>
      <w:r w:rsidR="003B22A7">
        <w:t>6</w:t>
      </w:r>
      <w:r>
        <w:t>,</w:t>
      </w:r>
      <w:r w:rsidR="003B22A7">
        <w:t>6</w:t>
      </w:r>
      <w:r>
        <w:t>00 if married filing jointly</w:t>
      </w:r>
      <w:r w:rsidR="00DC3290">
        <w:t xml:space="preserve"> </w:t>
      </w:r>
      <w:r w:rsidR="00DC3290" w:rsidRPr="00DC3290">
        <w:t>and $16</w:t>
      </w:r>
      <w:r w:rsidR="003B22A7">
        <w:t>3</w:t>
      </w:r>
      <w:r w:rsidR="00DC3290" w:rsidRPr="00DC3290">
        <w:t>,</w:t>
      </w:r>
      <w:r w:rsidR="003B22A7">
        <w:t>3</w:t>
      </w:r>
      <w:r w:rsidR="00DC3290" w:rsidRPr="00DC3290">
        <w:t xml:space="preserve">00 for </w:t>
      </w:r>
      <w:r w:rsidR="00742723">
        <w:t>singles and heads of household</w:t>
      </w:r>
      <w:r w:rsidR="00DC3290" w:rsidRPr="00DC3290">
        <w:t xml:space="preserve"> in 20</w:t>
      </w:r>
      <w:r w:rsidR="003B22A7">
        <w:t>20</w:t>
      </w:r>
      <w:r>
        <w:t>), consider converting any contractor payments to employee wages to increase the 50% of W–2 wages limitation.</w:t>
      </w:r>
    </w:p>
    <w:p w14:paraId="247A05DD" w14:textId="260B6EE8" w:rsidR="00FF4ED9" w:rsidRDefault="00FF4ED9" w:rsidP="00371EB5">
      <w:pPr>
        <w:spacing w:after="180"/>
        <w:ind w:left="1440" w:hanging="720"/>
      </w:pPr>
      <w:r>
        <w:t>b.</w:t>
      </w:r>
      <w:r>
        <w:tab/>
        <w:t>For a married couple who does not reside in a community property state and has “specified service</w:t>
      </w:r>
      <w:r w:rsidR="00BC0FA7">
        <w:t>s</w:t>
      </w:r>
      <w:r>
        <w:t>” business income above the thresholds that allow a QBI deduction, determine whether it might be better to file separate tax returns, enabling the spouse with QBI to qualify for the QBI deduction.</w:t>
      </w:r>
    </w:p>
    <w:p w14:paraId="7552FBF2" w14:textId="2386E2B6" w:rsidR="00FF4ED9" w:rsidRDefault="00FF4ED9" w:rsidP="00371EB5">
      <w:pPr>
        <w:spacing w:after="180"/>
        <w:ind w:left="1440" w:hanging="720"/>
      </w:pPr>
      <w:r>
        <w:t>c.</w:t>
      </w:r>
      <w:r>
        <w:tab/>
      </w:r>
      <w:r w:rsidR="00DC3290">
        <w:t>Given the</w:t>
      </w:r>
      <w:r>
        <w:t xml:space="preserve"> </w:t>
      </w:r>
      <w:r w:rsidR="00D96832">
        <w:t>§ 199A</w:t>
      </w:r>
      <w:r w:rsidR="00D96832" w:rsidDel="00D96832">
        <w:t xml:space="preserve"> </w:t>
      </w:r>
      <w:r w:rsidR="00DC3290">
        <w:t>Regulations</w:t>
      </w:r>
      <w:r>
        <w:t>, consider how businesses can be combined or separated, including perhaps placing one or more in separate legal entities, to increase the QBI deduction.</w:t>
      </w:r>
    </w:p>
    <w:p w14:paraId="41A251E4" w14:textId="7A7BFE4A" w:rsidR="00FF4ED9" w:rsidRPr="00FF4ED9" w:rsidRDefault="00FF4ED9" w:rsidP="00FF4ED9">
      <w:pPr>
        <w:ind w:left="1440" w:hanging="720"/>
      </w:pPr>
      <w:r>
        <w:t>d.</w:t>
      </w:r>
      <w:r>
        <w:tab/>
        <w:t>Employees might consider whether they can become self-employed in their field (which would enable the QBI deduction).</w:t>
      </w:r>
    </w:p>
    <w:p w14:paraId="4F00572F" w14:textId="1BA36FC4" w:rsidR="00E76FAD" w:rsidRDefault="00E76FAD" w:rsidP="00E76FAD">
      <w:pPr>
        <w:rPr>
          <w:b/>
        </w:rPr>
      </w:pPr>
    </w:p>
    <w:p w14:paraId="680365E7" w14:textId="4D989E28" w:rsidR="00B210A9" w:rsidRDefault="00B210A9">
      <w:pPr>
        <w:rPr>
          <w:b/>
        </w:rPr>
      </w:pPr>
      <w:r>
        <w:rPr>
          <w:b/>
        </w:rPr>
        <w:br w:type="page"/>
      </w:r>
    </w:p>
    <w:p w14:paraId="72F84AF5" w14:textId="77777777" w:rsidR="00B33945" w:rsidRDefault="00B33945" w:rsidP="00E76FAD">
      <w:pPr>
        <w:rPr>
          <w:b/>
        </w:rPr>
      </w:pPr>
    </w:p>
    <w:p w14:paraId="2B68A904" w14:textId="77777777" w:rsidR="00CE42A9" w:rsidRPr="00C12ADE" w:rsidRDefault="00CE42A9" w:rsidP="00CE42A9">
      <w:pPr>
        <w:pStyle w:val="Heading3"/>
        <w:pBdr>
          <w:top w:val="double" w:sz="6" w:space="0" w:color="000000"/>
          <w:bottom w:val="double" w:sz="6" w:space="0" w:color="000000"/>
        </w:pBdr>
        <w:shd w:val="pct10" w:color="auto" w:fill="auto"/>
        <w:spacing w:line="240" w:lineRule="auto"/>
        <w:ind w:left="0"/>
        <w:rPr>
          <w:position w:val="12"/>
        </w:rPr>
      </w:pPr>
      <w:r w:rsidRPr="00C12ADE">
        <w:rPr>
          <w:position w:val="12"/>
        </w:rPr>
        <w:t>THE BIG PICTURE</w:t>
      </w:r>
    </w:p>
    <w:p w14:paraId="6928BAFE" w14:textId="77777777" w:rsidR="00CE42A9" w:rsidRPr="00D74EC0" w:rsidRDefault="00CE42A9" w:rsidP="00CE42A9">
      <w:pPr>
        <w:rPr>
          <w:b/>
          <w:sz w:val="20"/>
          <w:szCs w:val="20"/>
          <w:u w:val="single"/>
        </w:rPr>
      </w:pPr>
    </w:p>
    <w:p w14:paraId="2DA1D82E" w14:textId="2D5E9738" w:rsidR="00CE42A9" w:rsidRDefault="003F4386" w:rsidP="003F4386">
      <w:pPr>
        <w:autoSpaceDE w:val="0"/>
        <w:autoSpaceDN w:val="0"/>
        <w:adjustRightInd w:val="0"/>
      </w:pPr>
      <w:r>
        <w:t>As Amy begins her career, the simplest entity to use is a sole proprietorship. If the risks for her business, such as injury to customers, are minimal, she will likely find that forming an LLC or a corporation to reduce her personal risk, is not warranted.</w:t>
      </w:r>
    </w:p>
    <w:p w14:paraId="20DC0F85" w14:textId="5AFB7F09" w:rsidR="003F4386" w:rsidRDefault="003F4386" w:rsidP="003F4386">
      <w:pPr>
        <w:autoSpaceDE w:val="0"/>
        <w:autoSpaceDN w:val="0"/>
        <w:adjustRightInd w:val="0"/>
      </w:pPr>
    </w:p>
    <w:p w14:paraId="7D45677D" w14:textId="2088C92A" w:rsidR="003F4386" w:rsidRDefault="003F4386" w:rsidP="003F4386">
      <w:pPr>
        <w:autoSpaceDE w:val="0"/>
        <w:autoSpaceDN w:val="0"/>
        <w:adjustRightInd w:val="0"/>
      </w:pPr>
      <w:r>
        <w:t>If, however, Amy wants a more formal structure or a legal structure to reduce her personal risk, an S corporation should work well as it allows her income and losses to flow through to her individual tax return. As her income grows, she might consider converting to a C corporation due to the 21% maximum rate, although she must also consider the effect of double taxation.</w:t>
      </w:r>
    </w:p>
    <w:p w14:paraId="3A9A1352" w14:textId="7124AE4F" w:rsidR="003F4386" w:rsidRDefault="003F4386" w:rsidP="003F4386">
      <w:pPr>
        <w:autoSpaceDE w:val="0"/>
        <w:autoSpaceDN w:val="0"/>
        <w:adjustRightInd w:val="0"/>
      </w:pPr>
    </w:p>
    <w:p w14:paraId="274000EA" w14:textId="65E2AEB6" w:rsidR="003F4386" w:rsidRDefault="003F4386" w:rsidP="003F4386">
      <w:pPr>
        <w:autoSpaceDE w:val="0"/>
        <w:autoSpaceDN w:val="0"/>
        <w:adjustRightInd w:val="0"/>
      </w:pPr>
      <w:r>
        <w:t>Amy must also consider the QBI deduction (assuming she does not operate as a C corporation) as well as state and local taxes.</w:t>
      </w:r>
    </w:p>
    <w:p w14:paraId="65D0CFCF" w14:textId="77777777" w:rsidR="00CE42A9" w:rsidRPr="00D74EC0" w:rsidRDefault="00CE42A9" w:rsidP="00CE42A9">
      <w:pPr>
        <w:pBdr>
          <w:bottom w:val="double" w:sz="4" w:space="1" w:color="auto"/>
        </w:pBdr>
        <w:jc w:val="both"/>
      </w:pPr>
    </w:p>
    <w:p w14:paraId="0E49310B" w14:textId="2BF3B570" w:rsidR="009E706F" w:rsidRDefault="009E706F" w:rsidP="008C0F15">
      <w:pPr>
        <w:pStyle w:val="centeringpage"/>
        <w:jc w:val="left"/>
        <w:rPr>
          <w:rFonts w:ascii="Times New Roman" w:hAnsi="Times New Roman"/>
          <w:sz w:val="24"/>
        </w:rPr>
      </w:pPr>
    </w:p>
    <w:p w14:paraId="3F8448C7" w14:textId="77777777" w:rsidR="00586B07" w:rsidRPr="00785CA3" w:rsidRDefault="00586B07" w:rsidP="008C0F15">
      <w:pPr>
        <w:pStyle w:val="centeringpage"/>
        <w:jc w:val="left"/>
        <w:rPr>
          <w:rFonts w:ascii="Times New Roman" w:hAnsi="Times New Roman"/>
          <w:sz w:val="24"/>
        </w:rPr>
      </w:pPr>
    </w:p>
    <w:p w14:paraId="28EB1923" w14:textId="39A16E2C" w:rsidR="009E706F" w:rsidRPr="00785CA3" w:rsidRDefault="009E706F" w:rsidP="008C0F15">
      <w:pPr>
        <w:jc w:val="center"/>
        <w:rPr>
          <w:b/>
          <w:caps/>
        </w:rPr>
      </w:pPr>
      <w:r w:rsidRPr="00785CA3">
        <w:rPr>
          <w:b/>
          <w:caps/>
        </w:rPr>
        <w:t>Research Problems</w:t>
      </w:r>
    </w:p>
    <w:p w14:paraId="5E3018A6" w14:textId="77777777" w:rsidR="009E706F" w:rsidRPr="00785CA3" w:rsidRDefault="009E706F" w:rsidP="008C0F15">
      <w:pPr>
        <w:rPr>
          <w:b/>
        </w:rPr>
      </w:pPr>
    </w:p>
    <w:p w14:paraId="36BB8EAF" w14:textId="350E3317" w:rsidR="00775555" w:rsidRPr="002E7C16" w:rsidRDefault="00084DF0" w:rsidP="008C0F15">
      <w:pPr>
        <w:pStyle w:val="centeringpage"/>
        <w:keepLines w:val="0"/>
        <w:jc w:val="left"/>
        <w:rPr>
          <w:rFonts w:ascii="Times New Roman" w:hAnsi="Times New Roman"/>
          <w:b w:val="0"/>
          <w:sz w:val="24"/>
          <w:szCs w:val="24"/>
        </w:rPr>
      </w:pPr>
      <w:r w:rsidRPr="002E7C16">
        <w:rPr>
          <w:rFonts w:ascii="Times New Roman" w:hAnsi="Times New Roman"/>
          <w:b w:val="0"/>
          <w:sz w:val="24"/>
          <w:szCs w:val="24"/>
        </w:rPr>
        <w:t xml:space="preserve">Solutions to </w:t>
      </w:r>
      <w:r w:rsidR="00740F1F" w:rsidRPr="002E7C16">
        <w:rPr>
          <w:rFonts w:ascii="Times New Roman" w:hAnsi="Times New Roman"/>
          <w:b w:val="0"/>
          <w:sz w:val="24"/>
          <w:szCs w:val="24"/>
        </w:rPr>
        <w:t>e</w:t>
      </w:r>
      <w:r w:rsidRPr="002E7C16">
        <w:rPr>
          <w:rFonts w:ascii="Times New Roman" w:hAnsi="Times New Roman"/>
          <w:b w:val="0"/>
          <w:sz w:val="24"/>
          <w:szCs w:val="24"/>
        </w:rPr>
        <w:t>nd-of-</w:t>
      </w:r>
      <w:r w:rsidR="00740F1F" w:rsidRPr="002E7C16">
        <w:rPr>
          <w:rFonts w:ascii="Times New Roman" w:hAnsi="Times New Roman"/>
          <w:b w:val="0"/>
          <w:sz w:val="24"/>
          <w:szCs w:val="24"/>
        </w:rPr>
        <w:t>c</w:t>
      </w:r>
      <w:r w:rsidRPr="002E7C16">
        <w:rPr>
          <w:rFonts w:ascii="Times New Roman" w:hAnsi="Times New Roman"/>
          <w:b w:val="0"/>
          <w:sz w:val="24"/>
          <w:szCs w:val="24"/>
        </w:rPr>
        <w:t>hapter Research Problems are located in the Solutions Manual.</w:t>
      </w:r>
    </w:p>
    <w:sectPr w:rsidR="00775555" w:rsidRPr="002E7C16" w:rsidSect="00D24E7B">
      <w:headerReference w:type="even" r:id="rId8"/>
      <w:headerReference w:type="default" r:id="rId9"/>
      <w:footerReference w:type="even" r:id="rId10"/>
      <w:footerReference w:type="default" r:id="rId11"/>
      <w:footerReference w:type="first" r:id="rId12"/>
      <w:footnotePr>
        <w:numRestart w:val="eachSect"/>
      </w:footnotePr>
      <w:pgSz w:w="12240" w:h="15840" w:code="1"/>
      <w:pgMar w:top="1440" w:right="1080" w:bottom="1440" w:left="180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7768E" w14:textId="77777777" w:rsidR="00A656B1" w:rsidRDefault="00A656B1">
      <w:r>
        <w:separator/>
      </w:r>
    </w:p>
  </w:endnote>
  <w:endnote w:type="continuationSeparator" w:id="0">
    <w:p w14:paraId="7EB15B48" w14:textId="77777777" w:rsidR="00A656B1" w:rsidRDefault="00A65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BB489" w14:textId="4117E789" w:rsidR="00684999" w:rsidRDefault="00684999" w:rsidP="00C529B0">
    <w:pPr>
      <w:pStyle w:val="Footer"/>
      <w:jc w:val="center"/>
    </w:pPr>
    <w:r>
      <w:rPr>
        <w:rFonts w:ascii="Arial Narrow" w:hAnsi="Arial Narrow" w:cs="ArialMT"/>
        <w:sz w:val="16"/>
        <w:szCs w:val="16"/>
      </w:rPr>
      <w:t>© 202</w:t>
    </w:r>
    <w:r w:rsidR="00A859B0">
      <w:rPr>
        <w:rFonts w:ascii="Arial Narrow" w:hAnsi="Arial Narrow" w:cs="ArialMT"/>
        <w:sz w:val="16"/>
        <w:szCs w:val="16"/>
      </w:rPr>
      <w:t>1</w:t>
    </w:r>
    <w:r>
      <w:rPr>
        <w:rFonts w:ascii="Arial Narrow" w:hAnsi="Arial Narrow" w:cs="ArialMT"/>
        <w:sz w:val="16"/>
        <w:szCs w:val="16"/>
      </w:rPr>
      <w:t xml:space="preserve"> </w:t>
    </w:r>
    <w:r w:rsidRPr="00615C9A">
      <w:rPr>
        <w:rFonts w:ascii="Arial Narrow" w:hAnsi="Arial Narrow" w:cs="ArialMT"/>
        <w:sz w:val="16"/>
        <w:szCs w:val="16"/>
      </w:rPr>
      <w:t>Cengage</w:t>
    </w:r>
    <w:r w:rsidRPr="0067557D">
      <w:rPr>
        <w:rFonts w:ascii="Arial Narrow" w:hAnsi="Arial Narrow" w:cs="ArialMT"/>
        <w:sz w:val="16"/>
        <w:szCs w:val="16"/>
        <w:vertAlign w:val="superscript"/>
      </w:rPr>
      <w:sym w:font="Symbol" w:char="F0D2"/>
    </w:r>
    <w:r w:rsidRPr="00615C9A">
      <w:rPr>
        <w:rFonts w:ascii="Arial Narrow" w:hAnsi="Arial Narrow" w:cs="ArialMT"/>
        <w:sz w:val="16"/>
        <w:szCs w:val="16"/>
      </w:rPr>
      <w:t xml:space="preserve">. </w:t>
    </w:r>
    <w:r>
      <w:rPr>
        <w:rFonts w:ascii="Arial Narrow" w:hAnsi="Arial Narrow" w:cs="ArialMT"/>
        <w:sz w:val="16"/>
        <w:szCs w:val="16"/>
      </w:rPr>
      <w:t>M</w:t>
    </w:r>
    <w:r w:rsidRPr="00615C9A">
      <w:rPr>
        <w:rFonts w:ascii="Arial Narrow" w:hAnsi="Arial Narrow" w:cs="ArialMT"/>
        <w:sz w:val="16"/>
        <w:szCs w:val="16"/>
      </w:rPr>
      <w:t>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120C3" w14:textId="4D1A4856" w:rsidR="00684999" w:rsidRDefault="00684999" w:rsidP="00C529B0">
    <w:pPr>
      <w:pStyle w:val="Footer"/>
      <w:jc w:val="center"/>
    </w:pPr>
    <w:r>
      <w:rPr>
        <w:rFonts w:ascii="Arial Narrow" w:hAnsi="Arial Narrow" w:cs="ArialMT"/>
        <w:sz w:val="16"/>
        <w:szCs w:val="16"/>
      </w:rPr>
      <w:t>© 202</w:t>
    </w:r>
    <w:r w:rsidR="00A859B0">
      <w:rPr>
        <w:rFonts w:ascii="Arial Narrow" w:hAnsi="Arial Narrow" w:cs="ArialMT"/>
        <w:sz w:val="16"/>
        <w:szCs w:val="16"/>
      </w:rPr>
      <w:t>1</w:t>
    </w:r>
    <w:r>
      <w:rPr>
        <w:rFonts w:ascii="Arial Narrow" w:hAnsi="Arial Narrow" w:cs="ArialMT"/>
        <w:sz w:val="16"/>
        <w:szCs w:val="16"/>
      </w:rPr>
      <w:t xml:space="preserve"> </w:t>
    </w:r>
    <w:r w:rsidRPr="00615C9A">
      <w:rPr>
        <w:rFonts w:ascii="Arial Narrow" w:hAnsi="Arial Narrow" w:cs="ArialMT"/>
        <w:sz w:val="16"/>
        <w:szCs w:val="16"/>
      </w:rPr>
      <w:t>Cengage</w:t>
    </w:r>
    <w:r w:rsidRPr="0067557D">
      <w:rPr>
        <w:rFonts w:ascii="Arial Narrow" w:hAnsi="Arial Narrow" w:cs="ArialMT"/>
        <w:sz w:val="16"/>
        <w:szCs w:val="16"/>
        <w:vertAlign w:val="superscript"/>
      </w:rPr>
      <w:sym w:font="Symbol" w:char="F0D2"/>
    </w:r>
    <w:r w:rsidRPr="00615C9A">
      <w:rPr>
        <w:rFonts w:ascii="Arial Narrow" w:hAnsi="Arial Narrow" w:cs="ArialMT"/>
        <w:sz w:val="16"/>
        <w:szCs w:val="16"/>
      </w:rPr>
      <w:t>.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EB720" w14:textId="77777777" w:rsidR="00684999" w:rsidRPr="00C46ED5" w:rsidRDefault="00684999" w:rsidP="00C529B0">
    <w:pPr>
      <w:pStyle w:val="Footer"/>
      <w:jc w:val="center"/>
      <w:rPr>
        <w:b/>
      </w:rPr>
    </w:pPr>
    <w:r w:rsidRPr="00C46ED5">
      <w:rPr>
        <w:b/>
      </w:rPr>
      <w:t>2-1</w:t>
    </w:r>
  </w:p>
  <w:p w14:paraId="3D7D58B9" w14:textId="0455F5B8" w:rsidR="00684999" w:rsidRDefault="00684999" w:rsidP="00C529B0">
    <w:pPr>
      <w:pStyle w:val="Footer"/>
      <w:jc w:val="center"/>
    </w:pPr>
    <w:r>
      <w:rPr>
        <w:rFonts w:ascii="Arial Narrow" w:hAnsi="Arial Narrow" w:cs="ArialMT"/>
        <w:sz w:val="16"/>
        <w:szCs w:val="16"/>
      </w:rPr>
      <w:t>© 202</w:t>
    </w:r>
    <w:r w:rsidR="00A859B0">
      <w:rPr>
        <w:rFonts w:ascii="Arial Narrow" w:hAnsi="Arial Narrow" w:cs="ArialMT"/>
        <w:sz w:val="16"/>
        <w:szCs w:val="16"/>
      </w:rPr>
      <w:t>1</w:t>
    </w:r>
    <w:r>
      <w:rPr>
        <w:rFonts w:ascii="Arial Narrow" w:hAnsi="Arial Narrow" w:cs="ArialMT"/>
        <w:sz w:val="16"/>
        <w:szCs w:val="16"/>
      </w:rPr>
      <w:t xml:space="preserve"> </w:t>
    </w:r>
    <w:r w:rsidRPr="00615C9A">
      <w:rPr>
        <w:rFonts w:ascii="Arial Narrow" w:hAnsi="Arial Narrow" w:cs="ArialMT"/>
        <w:sz w:val="16"/>
        <w:szCs w:val="16"/>
      </w:rPr>
      <w:t>Cengage</w:t>
    </w:r>
    <w:r w:rsidRPr="00371EB5">
      <w:rPr>
        <w:rFonts w:ascii="Arial Narrow" w:hAnsi="Arial Narrow" w:cs="ArialMT"/>
        <w:sz w:val="16"/>
        <w:szCs w:val="16"/>
        <w:vertAlign w:val="superscript"/>
      </w:rPr>
      <w:sym w:font="Symbol" w:char="F0D2"/>
    </w:r>
    <w:r w:rsidRPr="00615C9A">
      <w:rPr>
        <w:rFonts w:ascii="Arial Narrow" w:hAnsi="Arial Narrow" w:cs="ArialMT"/>
        <w:sz w:val="16"/>
        <w:szCs w:val="16"/>
      </w:rPr>
      <w:t>.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3055E" w14:textId="77777777" w:rsidR="00A656B1" w:rsidRDefault="00A656B1">
      <w:r>
        <w:separator/>
      </w:r>
    </w:p>
  </w:footnote>
  <w:footnote w:type="continuationSeparator" w:id="0">
    <w:p w14:paraId="4C9D13C9" w14:textId="77777777" w:rsidR="00A656B1" w:rsidRDefault="00A656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A493F" w14:textId="6E5BEB45" w:rsidR="00684999" w:rsidRDefault="00684999">
    <w:pPr>
      <w:pStyle w:val="Header"/>
    </w:pPr>
    <w:r>
      <w:rPr>
        <w:b/>
      </w:rPr>
      <w:t>2-</w:t>
    </w:r>
    <w:r>
      <w:rPr>
        <w:b/>
      </w:rPr>
      <w:pgNum/>
    </w:r>
    <w:r>
      <w:rPr>
        <w:b/>
      </w:rPr>
      <w:tab/>
    </w:r>
    <w:r>
      <w:rPr>
        <w:rStyle w:val="PageNumber"/>
        <w:sz w:val="20"/>
        <w:szCs w:val="20"/>
      </w:rPr>
      <w:t>202</w:t>
    </w:r>
    <w:r w:rsidR="00A859B0">
      <w:rPr>
        <w:rStyle w:val="PageNumber"/>
        <w:sz w:val="20"/>
        <w:szCs w:val="20"/>
      </w:rPr>
      <w:t>1</w:t>
    </w:r>
    <w:r w:rsidRPr="00BF2095">
      <w:rPr>
        <w:rStyle w:val="PageNumber"/>
        <w:sz w:val="20"/>
        <w:szCs w:val="20"/>
      </w:rPr>
      <w:t xml:space="preserve"> Corp</w:t>
    </w:r>
    <w:r>
      <w:rPr>
        <w:rStyle w:val="PageNumber"/>
        <w:sz w:val="20"/>
        <w:szCs w:val="20"/>
      </w:rPr>
      <w:t>orations</w:t>
    </w:r>
    <w:r w:rsidRPr="00BF2095">
      <w:rPr>
        <w:rStyle w:val="PageNumber"/>
        <w:sz w:val="20"/>
        <w:szCs w:val="20"/>
      </w:rPr>
      <w:t>, Part</w:t>
    </w:r>
    <w:r>
      <w:rPr>
        <w:rStyle w:val="PageNumber"/>
        <w:sz w:val="20"/>
        <w:szCs w:val="20"/>
      </w:rPr>
      <w:t>nerships</w:t>
    </w:r>
    <w:r w:rsidRPr="00BF2095">
      <w:rPr>
        <w:rStyle w:val="PageNumber"/>
        <w:sz w:val="20"/>
        <w:szCs w:val="20"/>
      </w:rPr>
      <w:t>, Est</w:t>
    </w:r>
    <w:r>
      <w:rPr>
        <w:rStyle w:val="PageNumber"/>
        <w:sz w:val="20"/>
        <w:szCs w:val="20"/>
      </w:rPr>
      <w:t>ates</w:t>
    </w:r>
    <w:r w:rsidRPr="00BF2095">
      <w:rPr>
        <w:rStyle w:val="PageNumber"/>
        <w:sz w:val="20"/>
        <w:szCs w:val="20"/>
      </w:rPr>
      <w:t xml:space="preserve"> &amp; Trusts</w:t>
    </w:r>
    <w:r>
      <w:rPr>
        <w:rStyle w:val="PageNumber"/>
        <w:sz w:val="20"/>
        <w:szCs w:val="20"/>
      </w:rPr>
      <w:t xml:space="preserve">: </w:t>
    </w:r>
    <w:r w:rsidRPr="006A4BB8">
      <w:rPr>
        <w:rStyle w:val="PageNumber"/>
        <w:sz w:val="20"/>
        <w:szCs w:val="20"/>
      </w:rPr>
      <w:t>Instructor’s Guide with Lecture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4555A" w14:textId="575DB5E5" w:rsidR="00684999" w:rsidRPr="004B4D0D" w:rsidRDefault="00684999" w:rsidP="00E23C86">
    <w:pPr>
      <w:tabs>
        <w:tab w:val="center" w:pos="4680"/>
        <w:tab w:val="right" w:pos="9360"/>
      </w:tabs>
      <w:jc w:val="center"/>
      <w:rPr>
        <w:b/>
      </w:rPr>
    </w:pPr>
    <w:r>
      <w:rPr>
        <w:rStyle w:val="PageNumber"/>
        <w:b/>
      </w:rPr>
      <w:tab/>
    </w:r>
    <w:r>
      <w:rPr>
        <w:rStyle w:val="PageNumber"/>
        <w:sz w:val="20"/>
        <w:szCs w:val="20"/>
      </w:rPr>
      <w:t>CHAPTER</w:t>
    </w:r>
    <w:r w:rsidRPr="00D24E7B">
      <w:rPr>
        <w:rStyle w:val="PageNumber"/>
        <w:sz w:val="20"/>
        <w:szCs w:val="20"/>
      </w:rPr>
      <w:t xml:space="preserve"> 2</w:t>
    </w:r>
    <w:r>
      <w:rPr>
        <w:rStyle w:val="PageNumber"/>
        <w:sz w:val="20"/>
        <w:szCs w:val="20"/>
      </w:rPr>
      <w:t>:</w:t>
    </w:r>
    <w:r w:rsidRPr="00D24E7B">
      <w:rPr>
        <w:rStyle w:val="PageNumber"/>
        <w:sz w:val="20"/>
        <w:szCs w:val="20"/>
      </w:rPr>
      <w:t xml:space="preserve"> </w:t>
    </w:r>
    <w:r w:rsidRPr="00E23C86">
      <w:rPr>
        <w:rStyle w:val="PageNumber"/>
        <w:sz w:val="20"/>
        <w:szCs w:val="20"/>
      </w:rPr>
      <w:t>The Deduction for Qualified</w:t>
    </w:r>
    <w:r>
      <w:rPr>
        <w:rStyle w:val="PageNumber"/>
        <w:sz w:val="20"/>
        <w:szCs w:val="20"/>
      </w:rPr>
      <w:t xml:space="preserve"> </w:t>
    </w:r>
    <w:r w:rsidRPr="00E23C86">
      <w:rPr>
        <w:rStyle w:val="PageNumber"/>
        <w:sz w:val="20"/>
        <w:szCs w:val="20"/>
      </w:rPr>
      <w:t>Business Income for</w:t>
    </w:r>
    <w:r>
      <w:rPr>
        <w:rStyle w:val="PageNumber"/>
        <w:sz w:val="20"/>
        <w:szCs w:val="20"/>
      </w:rPr>
      <w:t xml:space="preserve"> </w:t>
    </w:r>
    <w:r w:rsidR="00742723">
      <w:rPr>
        <w:rStyle w:val="PageNumber"/>
        <w:sz w:val="20"/>
        <w:szCs w:val="20"/>
      </w:rPr>
      <w:t>Noncorporate Taxpayers</w:t>
    </w:r>
    <w:r w:rsidRPr="006A4BB8">
      <w:rPr>
        <w:rStyle w:val="PageNumber"/>
      </w:rPr>
      <w:tab/>
    </w:r>
    <w:r>
      <w:rPr>
        <w:rStyle w:val="PageNumber"/>
        <w:b/>
      </w:rPr>
      <w:t>2-</w:t>
    </w:r>
    <w:r>
      <w:rPr>
        <w:rStyle w:val="PageNumber"/>
        <w:b/>
      </w:rPr>
      <w:fldChar w:fldCharType="begin"/>
    </w:r>
    <w:r>
      <w:rPr>
        <w:rStyle w:val="PageNumber"/>
        <w:b/>
      </w:rPr>
      <w:instrText xml:space="preserve"> PAGE </w:instrText>
    </w:r>
    <w:r>
      <w:rPr>
        <w:rStyle w:val="PageNumber"/>
        <w:b/>
      </w:rPr>
      <w:fldChar w:fldCharType="separate"/>
    </w:r>
    <w:r w:rsidR="00CC717D">
      <w:rPr>
        <w:rStyle w:val="PageNumber"/>
        <w:b/>
        <w:noProof/>
      </w:rPr>
      <w:t>15</w:t>
    </w:r>
    <w:r>
      <w:rPr>
        <w:rStyle w:val="PageNumbe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785"/>
    <w:multiLevelType w:val="hybridMultilevel"/>
    <w:tmpl w:val="330CA130"/>
    <w:lvl w:ilvl="0" w:tplc="1EC02192">
      <w:start w:val="1"/>
      <w:numFmt w:val="lowerLetter"/>
      <w:lvlText w:val="%1."/>
      <w:lvlJc w:val="left"/>
      <w:pPr>
        <w:ind w:left="1886" w:hanging="360"/>
      </w:pPr>
      <w:rPr>
        <w:sz w:val="24"/>
        <w:szCs w:val="24"/>
      </w:rPr>
    </w:lvl>
    <w:lvl w:ilvl="1" w:tplc="04090019" w:tentative="1">
      <w:start w:val="1"/>
      <w:numFmt w:val="lowerLetter"/>
      <w:lvlText w:val="%2."/>
      <w:lvlJc w:val="left"/>
      <w:pPr>
        <w:ind w:left="2606" w:hanging="360"/>
      </w:pPr>
    </w:lvl>
    <w:lvl w:ilvl="2" w:tplc="0409001B" w:tentative="1">
      <w:start w:val="1"/>
      <w:numFmt w:val="lowerRoman"/>
      <w:lvlText w:val="%3."/>
      <w:lvlJc w:val="right"/>
      <w:pPr>
        <w:ind w:left="3326" w:hanging="180"/>
      </w:pPr>
    </w:lvl>
    <w:lvl w:ilvl="3" w:tplc="0409000F" w:tentative="1">
      <w:start w:val="1"/>
      <w:numFmt w:val="decimal"/>
      <w:lvlText w:val="%4."/>
      <w:lvlJc w:val="left"/>
      <w:pPr>
        <w:ind w:left="4046" w:hanging="360"/>
      </w:pPr>
    </w:lvl>
    <w:lvl w:ilvl="4" w:tplc="04090019" w:tentative="1">
      <w:start w:val="1"/>
      <w:numFmt w:val="lowerLetter"/>
      <w:lvlText w:val="%5."/>
      <w:lvlJc w:val="left"/>
      <w:pPr>
        <w:ind w:left="4766" w:hanging="360"/>
      </w:pPr>
    </w:lvl>
    <w:lvl w:ilvl="5" w:tplc="0409001B" w:tentative="1">
      <w:start w:val="1"/>
      <w:numFmt w:val="lowerRoman"/>
      <w:lvlText w:val="%6."/>
      <w:lvlJc w:val="right"/>
      <w:pPr>
        <w:ind w:left="5486" w:hanging="180"/>
      </w:pPr>
    </w:lvl>
    <w:lvl w:ilvl="6" w:tplc="0409000F" w:tentative="1">
      <w:start w:val="1"/>
      <w:numFmt w:val="decimal"/>
      <w:lvlText w:val="%7."/>
      <w:lvlJc w:val="left"/>
      <w:pPr>
        <w:ind w:left="6206" w:hanging="360"/>
      </w:pPr>
    </w:lvl>
    <w:lvl w:ilvl="7" w:tplc="04090019" w:tentative="1">
      <w:start w:val="1"/>
      <w:numFmt w:val="lowerLetter"/>
      <w:lvlText w:val="%8."/>
      <w:lvlJc w:val="left"/>
      <w:pPr>
        <w:ind w:left="6926" w:hanging="360"/>
      </w:pPr>
    </w:lvl>
    <w:lvl w:ilvl="8" w:tplc="0409001B" w:tentative="1">
      <w:start w:val="1"/>
      <w:numFmt w:val="lowerRoman"/>
      <w:lvlText w:val="%9."/>
      <w:lvlJc w:val="right"/>
      <w:pPr>
        <w:ind w:left="7646" w:hanging="180"/>
      </w:pPr>
    </w:lvl>
  </w:abstractNum>
  <w:abstractNum w:abstractNumId="1" w15:restartNumberingAfterBreak="0">
    <w:nsid w:val="027D2A60"/>
    <w:multiLevelType w:val="hybridMultilevel"/>
    <w:tmpl w:val="10A4C81A"/>
    <w:lvl w:ilvl="0" w:tplc="42F8A776">
      <w:start w:val="1"/>
      <w:numFmt w:val="lowerLetter"/>
      <w:lvlText w:val="%1."/>
      <w:lvlJc w:val="left"/>
      <w:pPr>
        <w:ind w:left="1800" w:hanging="360"/>
      </w:pPr>
      <w:rPr>
        <w:rFonts w:ascii="Times New Roman" w:hAnsi="Times New Roman" w:cs="Times New Roman" w:hint="default"/>
        <w:sz w:val="24"/>
        <w:szCs w:val="24"/>
      </w:rPr>
    </w:lvl>
    <w:lvl w:ilvl="1" w:tplc="04090019">
      <w:start w:val="1"/>
      <w:numFmt w:val="lowerLetter"/>
      <w:lvlText w:val="%2."/>
      <w:lvlJc w:val="left"/>
      <w:pPr>
        <w:ind w:left="2520" w:hanging="360"/>
      </w:pPr>
    </w:lvl>
    <w:lvl w:ilvl="2" w:tplc="72FC9426">
      <w:numFmt w:val="bullet"/>
      <w:lvlText w:val="•"/>
      <w:lvlJc w:val="left"/>
      <w:pPr>
        <w:ind w:left="3420" w:hanging="360"/>
      </w:pPr>
      <w:rPr>
        <w:rFonts w:ascii="Times New Roman" w:eastAsia="Times New Roman" w:hAnsi="Times New Roman" w:cs="Times New Roman"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2B163FF"/>
    <w:multiLevelType w:val="hybridMultilevel"/>
    <w:tmpl w:val="0F1AA3F0"/>
    <w:lvl w:ilvl="0" w:tplc="04090019">
      <w:start w:val="1"/>
      <w:numFmt w:val="lowerLetter"/>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 w15:restartNumberingAfterBreak="0">
    <w:nsid w:val="09FB1202"/>
    <w:multiLevelType w:val="hybridMultilevel"/>
    <w:tmpl w:val="009E1A2C"/>
    <w:lvl w:ilvl="0" w:tplc="4C3AB4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275906"/>
    <w:multiLevelType w:val="hybridMultilevel"/>
    <w:tmpl w:val="1B027866"/>
    <w:lvl w:ilvl="0" w:tplc="46B04FF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281E25"/>
    <w:multiLevelType w:val="hybridMultilevel"/>
    <w:tmpl w:val="7A7429A2"/>
    <w:lvl w:ilvl="0" w:tplc="EB30141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126FB7"/>
    <w:multiLevelType w:val="hybridMultilevel"/>
    <w:tmpl w:val="BC2C8A1E"/>
    <w:lvl w:ilvl="0" w:tplc="780281D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1D37683"/>
    <w:multiLevelType w:val="hybridMultilevel"/>
    <w:tmpl w:val="AF62AF8E"/>
    <w:lvl w:ilvl="0" w:tplc="20FE395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D96B3E"/>
    <w:multiLevelType w:val="hybridMultilevel"/>
    <w:tmpl w:val="E776249C"/>
    <w:lvl w:ilvl="0" w:tplc="BC84AC4C">
      <w:start w:val="15"/>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5C153B"/>
    <w:multiLevelType w:val="hybridMultilevel"/>
    <w:tmpl w:val="33BC0850"/>
    <w:lvl w:ilvl="0" w:tplc="46B04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B82EAD"/>
    <w:multiLevelType w:val="multilevel"/>
    <w:tmpl w:val="DC0EC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F94149"/>
    <w:multiLevelType w:val="hybridMultilevel"/>
    <w:tmpl w:val="5FDAC6D2"/>
    <w:lvl w:ilvl="0" w:tplc="C7267A8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02AB1"/>
    <w:multiLevelType w:val="hybridMultilevel"/>
    <w:tmpl w:val="AC688F40"/>
    <w:lvl w:ilvl="0" w:tplc="2D6E2098">
      <w:start w:val="1"/>
      <w:numFmt w:val="decimal"/>
      <w:lvlText w:val="(%1)"/>
      <w:lvlJc w:val="left"/>
      <w:pPr>
        <w:ind w:left="2524" w:hanging="360"/>
      </w:pPr>
      <w:rPr>
        <w:rFonts w:hint="default"/>
      </w:rPr>
    </w:lvl>
    <w:lvl w:ilvl="1" w:tplc="04090019" w:tentative="1">
      <w:start w:val="1"/>
      <w:numFmt w:val="lowerLetter"/>
      <w:lvlText w:val="%2."/>
      <w:lvlJc w:val="left"/>
      <w:pPr>
        <w:ind w:left="3244" w:hanging="360"/>
      </w:pPr>
    </w:lvl>
    <w:lvl w:ilvl="2" w:tplc="0409001B" w:tentative="1">
      <w:start w:val="1"/>
      <w:numFmt w:val="lowerRoman"/>
      <w:lvlText w:val="%3."/>
      <w:lvlJc w:val="right"/>
      <w:pPr>
        <w:ind w:left="3964" w:hanging="180"/>
      </w:pPr>
    </w:lvl>
    <w:lvl w:ilvl="3" w:tplc="0409000F" w:tentative="1">
      <w:start w:val="1"/>
      <w:numFmt w:val="decimal"/>
      <w:lvlText w:val="%4."/>
      <w:lvlJc w:val="left"/>
      <w:pPr>
        <w:ind w:left="4684" w:hanging="360"/>
      </w:pPr>
    </w:lvl>
    <w:lvl w:ilvl="4" w:tplc="04090019" w:tentative="1">
      <w:start w:val="1"/>
      <w:numFmt w:val="lowerLetter"/>
      <w:lvlText w:val="%5."/>
      <w:lvlJc w:val="left"/>
      <w:pPr>
        <w:ind w:left="5404" w:hanging="360"/>
      </w:pPr>
    </w:lvl>
    <w:lvl w:ilvl="5" w:tplc="0409001B" w:tentative="1">
      <w:start w:val="1"/>
      <w:numFmt w:val="lowerRoman"/>
      <w:lvlText w:val="%6."/>
      <w:lvlJc w:val="right"/>
      <w:pPr>
        <w:ind w:left="6124" w:hanging="180"/>
      </w:pPr>
    </w:lvl>
    <w:lvl w:ilvl="6" w:tplc="0409000F" w:tentative="1">
      <w:start w:val="1"/>
      <w:numFmt w:val="decimal"/>
      <w:lvlText w:val="%7."/>
      <w:lvlJc w:val="left"/>
      <w:pPr>
        <w:ind w:left="6844" w:hanging="360"/>
      </w:pPr>
    </w:lvl>
    <w:lvl w:ilvl="7" w:tplc="04090019" w:tentative="1">
      <w:start w:val="1"/>
      <w:numFmt w:val="lowerLetter"/>
      <w:lvlText w:val="%8."/>
      <w:lvlJc w:val="left"/>
      <w:pPr>
        <w:ind w:left="7564" w:hanging="360"/>
      </w:pPr>
    </w:lvl>
    <w:lvl w:ilvl="8" w:tplc="0409001B" w:tentative="1">
      <w:start w:val="1"/>
      <w:numFmt w:val="lowerRoman"/>
      <w:lvlText w:val="%9."/>
      <w:lvlJc w:val="right"/>
      <w:pPr>
        <w:ind w:left="8284" w:hanging="180"/>
      </w:pPr>
    </w:lvl>
  </w:abstractNum>
  <w:abstractNum w:abstractNumId="13" w15:restartNumberingAfterBreak="0">
    <w:nsid w:val="23AA616A"/>
    <w:multiLevelType w:val="hybridMultilevel"/>
    <w:tmpl w:val="43D815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FA06E7"/>
    <w:multiLevelType w:val="hybridMultilevel"/>
    <w:tmpl w:val="831E8F72"/>
    <w:lvl w:ilvl="0" w:tplc="73C848F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2AEE32C4"/>
    <w:multiLevelType w:val="hybridMultilevel"/>
    <w:tmpl w:val="681429FA"/>
    <w:lvl w:ilvl="0" w:tplc="05B8B0B4">
      <w:start w:val="1"/>
      <w:numFmt w:val="bullet"/>
      <w:lvlText w:val=""/>
      <w:lvlJc w:val="left"/>
      <w:pPr>
        <w:tabs>
          <w:tab w:val="num" w:pos="648"/>
        </w:tabs>
        <w:ind w:left="72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A788E"/>
    <w:multiLevelType w:val="hybridMultilevel"/>
    <w:tmpl w:val="D512AE08"/>
    <w:lvl w:ilvl="0" w:tplc="EC2AA3F2">
      <w:start w:val="1"/>
      <w:numFmt w:val="decimal"/>
      <w:lvlText w:val="(%1)"/>
      <w:lvlJc w:val="left"/>
      <w:pPr>
        <w:ind w:left="1440" w:hanging="360"/>
      </w:pPr>
      <w:rPr>
        <w:rFonts w:ascii="Times New Roman" w:eastAsia="Times New Roman" w:hAnsi="Times New Roman" w:cs="Times New Roman"/>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B620422"/>
    <w:multiLevelType w:val="hybridMultilevel"/>
    <w:tmpl w:val="8844F8D6"/>
    <w:lvl w:ilvl="0" w:tplc="FFF4EF5C">
      <w:start w:val="1"/>
      <w:numFmt w:val="decimal"/>
      <w:lvlText w:val="(%1)"/>
      <w:lvlJc w:val="left"/>
      <w:pPr>
        <w:ind w:left="1796" w:hanging="360"/>
      </w:pPr>
      <w:rPr>
        <w:rFonts w:ascii="Times New Roman" w:eastAsia="Times New Roman" w:hAnsi="Times New Roman" w:cs="Times New Roman"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18" w15:restartNumberingAfterBreak="0">
    <w:nsid w:val="2CBD07D8"/>
    <w:multiLevelType w:val="hybridMultilevel"/>
    <w:tmpl w:val="3BD245E0"/>
    <w:lvl w:ilvl="0" w:tplc="4C3AB488">
      <w:start w:val="4"/>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DB68A4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072996"/>
    <w:multiLevelType w:val="hybridMultilevel"/>
    <w:tmpl w:val="4210E2F6"/>
    <w:lvl w:ilvl="0" w:tplc="38A2EA2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7C6432"/>
    <w:multiLevelType w:val="hybridMultilevel"/>
    <w:tmpl w:val="7F021696"/>
    <w:lvl w:ilvl="0" w:tplc="7D689CDC">
      <w:start w:val="1"/>
      <w:numFmt w:val="decimal"/>
      <w:lvlText w:val="(%1)"/>
      <w:lvlJc w:val="left"/>
      <w:pPr>
        <w:ind w:left="1440" w:hanging="360"/>
      </w:pPr>
    </w:lvl>
    <w:lvl w:ilvl="1" w:tplc="03E4A398">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FE2375"/>
    <w:multiLevelType w:val="hybridMultilevel"/>
    <w:tmpl w:val="C060D57A"/>
    <w:lvl w:ilvl="0" w:tplc="6784B314">
      <w:start w:val="1"/>
      <w:numFmt w:val="decimal"/>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40CF7BDF"/>
    <w:multiLevelType w:val="hybridMultilevel"/>
    <w:tmpl w:val="ACDE433E"/>
    <w:lvl w:ilvl="0" w:tplc="9B56C2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ED6C9B"/>
    <w:multiLevelType w:val="hybridMultilevel"/>
    <w:tmpl w:val="A6EACD16"/>
    <w:lvl w:ilvl="0" w:tplc="2976044A">
      <w:start w:val="58"/>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CC18FC"/>
    <w:multiLevelType w:val="hybridMultilevel"/>
    <w:tmpl w:val="332A3588"/>
    <w:lvl w:ilvl="0" w:tplc="F96E99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1A0F8F"/>
    <w:multiLevelType w:val="hybridMultilevel"/>
    <w:tmpl w:val="1704678A"/>
    <w:lvl w:ilvl="0" w:tplc="2084E54C">
      <w:start w:val="2"/>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6" w15:restartNumberingAfterBreak="0">
    <w:nsid w:val="50F74BEE"/>
    <w:multiLevelType w:val="hybridMultilevel"/>
    <w:tmpl w:val="B3F41640"/>
    <w:lvl w:ilvl="0" w:tplc="2CBA23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2EA1DD8"/>
    <w:multiLevelType w:val="hybridMultilevel"/>
    <w:tmpl w:val="4680F92E"/>
    <w:lvl w:ilvl="0" w:tplc="B1349A20">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A043F6"/>
    <w:multiLevelType w:val="hybridMultilevel"/>
    <w:tmpl w:val="42E0F6CA"/>
    <w:lvl w:ilvl="0" w:tplc="32D0AB36">
      <w:start w:val="1"/>
      <w:numFmt w:val="decimal"/>
      <w:lvlText w:val="(%1)"/>
      <w:lvlJc w:val="left"/>
      <w:pPr>
        <w:ind w:left="2160" w:hanging="360"/>
      </w:pPr>
      <w:rPr>
        <w:rFonts w:ascii="Times New Roman" w:eastAsia="Times New Roman" w:hAnsi="Times New Roman" w:cs="Times New Roman"/>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9DC0EB2"/>
    <w:multiLevelType w:val="hybridMultilevel"/>
    <w:tmpl w:val="ECBA3F9E"/>
    <w:lvl w:ilvl="0" w:tplc="4C3AB488">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384D1B"/>
    <w:multiLevelType w:val="hybridMultilevel"/>
    <w:tmpl w:val="74BA8CE0"/>
    <w:lvl w:ilvl="0" w:tplc="05B8B0B4">
      <w:start w:val="1"/>
      <w:numFmt w:val="bullet"/>
      <w:lvlText w:val=""/>
      <w:lvlJc w:val="left"/>
      <w:pPr>
        <w:tabs>
          <w:tab w:val="num" w:pos="2088"/>
        </w:tabs>
        <w:ind w:left="2160" w:firstLine="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60712391"/>
    <w:multiLevelType w:val="hybridMultilevel"/>
    <w:tmpl w:val="5FBAC238"/>
    <w:lvl w:ilvl="0" w:tplc="05B8B0B4">
      <w:start w:val="1"/>
      <w:numFmt w:val="bullet"/>
      <w:lvlText w:val=""/>
      <w:lvlJc w:val="left"/>
      <w:pPr>
        <w:tabs>
          <w:tab w:val="num" w:pos="648"/>
        </w:tabs>
        <w:ind w:left="72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A63AB6"/>
    <w:multiLevelType w:val="hybridMultilevel"/>
    <w:tmpl w:val="D2F0EACE"/>
    <w:lvl w:ilvl="0" w:tplc="04090001">
      <w:start w:val="1"/>
      <w:numFmt w:val="bullet"/>
      <w:lvlText w:val=""/>
      <w:lvlJc w:val="left"/>
      <w:pPr>
        <w:ind w:left="1443" w:hanging="360"/>
      </w:pPr>
      <w:rPr>
        <w:rFonts w:ascii="Symbol" w:hAnsi="Symbol" w:hint="default"/>
      </w:rPr>
    </w:lvl>
    <w:lvl w:ilvl="1" w:tplc="04090001">
      <w:start w:val="1"/>
      <w:numFmt w:val="bullet"/>
      <w:lvlText w:val=""/>
      <w:lvlJc w:val="left"/>
      <w:pPr>
        <w:ind w:left="2163" w:hanging="360"/>
      </w:pPr>
      <w:rPr>
        <w:rFonts w:ascii="Symbol" w:hAnsi="Symbol"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3" w15:restartNumberingAfterBreak="0">
    <w:nsid w:val="63B900DC"/>
    <w:multiLevelType w:val="hybridMultilevel"/>
    <w:tmpl w:val="FEEADCDC"/>
    <w:lvl w:ilvl="0" w:tplc="2976044A">
      <w:start w:val="58"/>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260D8F"/>
    <w:multiLevelType w:val="hybridMultilevel"/>
    <w:tmpl w:val="D0781C20"/>
    <w:lvl w:ilvl="0" w:tplc="698C8404">
      <w:start w:val="1"/>
      <w:numFmt w:val="decimal"/>
      <w:lvlText w:val="(%1)"/>
      <w:lvlJc w:val="left"/>
      <w:pPr>
        <w:ind w:left="1296" w:hanging="720"/>
      </w:pPr>
      <w:rPr>
        <w:rFonts w:hint="default"/>
      </w:rPr>
    </w:lvl>
    <w:lvl w:ilvl="1" w:tplc="04090001">
      <w:start w:val="1"/>
      <w:numFmt w:val="bullet"/>
      <w:lvlText w:val=""/>
      <w:lvlJc w:val="left"/>
      <w:pPr>
        <w:ind w:left="1656" w:hanging="360"/>
      </w:pPr>
      <w:rPr>
        <w:rFonts w:ascii="Symbol" w:hAnsi="Symbol" w:hint="default"/>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68F010AD"/>
    <w:multiLevelType w:val="hybridMultilevel"/>
    <w:tmpl w:val="C27A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1F42A5"/>
    <w:multiLevelType w:val="hybridMultilevel"/>
    <w:tmpl w:val="F196D22A"/>
    <w:lvl w:ilvl="0" w:tplc="04090001">
      <w:start w:val="1"/>
      <w:numFmt w:val="bullet"/>
      <w:lvlText w:val=""/>
      <w:lvlJc w:val="left"/>
      <w:pPr>
        <w:ind w:left="5580" w:hanging="360"/>
      </w:pPr>
      <w:rPr>
        <w:rFonts w:ascii="Symbol" w:hAnsi="Symbol" w:hint="default"/>
      </w:rPr>
    </w:lvl>
    <w:lvl w:ilvl="1" w:tplc="04090003" w:tentative="1">
      <w:start w:val="1"/>
      <w:numFmt w:val="bullet"/>
      <w:lvlText w:val="o"/>
      <w:lvlJc w:val="left"/>
      <w:pPr>
        <w:ind w:left="6300" w:hanging="360"/>
      </w:pPr>
      <w:rPr>
        <w:rFonts w:ascii="Courier New" w:hAnsi="Courier New" w:cs="Courier New" w:hint="default"/>
      </w:rPr>
    </w:lvl>
    <w:lvl w:ilvl="2" w:tplc="04090005" w:tentative="1">
      <w:start w:val="1"/>
      <w:numFmt w:val="bullet"/>
      <w:lvlText w:val=""/>
      <w:lvlJc w:val="left"/>
      <w:pPr>
        <w:ind w:left="7020" w:hanging="360"/>
      </w:pPr>
      <w:rPr>
        <w:rFonts w:ascii="Wingdings" w:hAnsi="Wingdings" w:hint="default"/>
      </w:rPr>
    </w:lvl>
    <w:lvl w:ilvl="3" w:tplc="04090001" w:tentative="1">
      <w:start w:val="1"/>
      <w:numFmt w:val="bullet"/>
      <w:lvlText w:val=""/>
      <w:lvlJc w:val="left"/>
      <w:pPr>
        <w:ind w:left="7740" w:hanging="360"/>
      </w:pPr>
      <w:rPr>
        <w:rFonts w:ascii="Symbol" w:hAnsi="Symbol" w:hint="default"/>
      </w:rPr>
    </w:lvl>
    <w:lvl w:ilvl="4" w:tplc="04090003" w:tentative="1">
      <w:start w:val="1"/>
      <w:numFmt w:val="bullet"/>
      <w:lvlText w:val="o"/>
      <w:lvlJc w:val="left"/>
      <w:pPr>
        <w:ind w:left="8460" w:hanging="360"/>
      </w:pPr>
      <w:rPr>
        <w:rFonts w:ascii="Courier New" w:hAnsi="Courier New" w:cs="Courier New" w:hint="default"/>
      </w:rPr>
    </w:lvl>
    <w:lvl w:ilvl="5" w:tplc="04090005" w:tentative="1">
      <w:start w:val="1"/>
      <w:numFmt w:val="bullet"/>
      <w:lvlText w:val=""/>
      <w:lvlJc w:val="left"/>
      <w:pPr>
        <w:ind w:left="9180" w:hanging="360"/>
      </w:pPr>
      <w:rPr>
        <w:rFonts w:ascii="Wingdings" w:hAnsi="Wingdings" w:hint="default"/>
      </w:rPr>
    </w:lvl>
    <w:lvl w:ilvl="6" w:tplc="04090001" w:tentative="1">
      <w:start w:val="1"/>
      <w:numFmt w:val="bullet"/>
      <w:lvlText w:val=""/>
      <w:lvlJc w:val="left"/>
      <w:pPr>
        <w:ind w:left="9900" w:hanging="360"/>
      </w:pPr>
      <w:rPr>
        <w:rFonts w:ascii="Symbol" w:hAnsi="Symbol" w:hint="default"/>
      </w:rPr>
    </w:lvl>
    <w:lvl w:ilvl="7" w:tplc="04090003" w:tentative="1">
      <w:start w:val="1"/>
      <w:numFmt w:val="bullet"/>
      <w:lvlText w:val="o"/>
      <w:lvlJc w:val="left"/>
      <w:pPr>
        <w:ind w:left="10620" w:hanging="360"/>
      </w:pPr>
      <w:rPr>
        <w:rFonts w:ascii="Courier New" w:hAnsi="Courier New" w:cs="Courier New" w:hint="default"/>
      </w:rPr>
    </w:lvl>
    <w:lvl w:ilvl="8" w:tplc="04090005" w:tentative="1">
      <w:start w:val="1"/>
      <w:numFmt w:val="bullet"/>
      <w:lvlText w:val=""/>
      <w:lvlJc w:val="left"/>
      <w:pPr>
        <w:ind w:left="11340" w:hanging="360"/>
      </w:pPr>
      <w:rPr>
        <w:rFonts w:ascii="Wingdings" w:hAnsi="Wingdings" w:hint="default"/>
      </w:rPr>
    </w:lvl>
  </w:abstractNum>
  <w:abstractNum w:abstractNumId="37" w15:restartNumberingAfterBreak="0">
    <w:nsid w:val="6C4C783A"/>
    <w:multiLevelType w:val="hybridMultilevel"/>
    <w:tmpl w:val="479A3F9E"/>
    <w:lvl w:ilvl="0" w:tplc="7F684C1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6DEF4471"/>
    <w:multiLevelType w:val="hybridMultilevel"/>
    <w:tmpl w:val="BEB811AA"/>
    <w:lvl w:ilvl="0" w:tplc="798C76CC">
      <w:start w:val="1"/>
      <w:numFmt w:val="decimal"/>
      <w:lvlText w:val="(%1)"/>
      <w:lvlJc w:val="left"/>
      <w:pPr>
        <w:ind w:left="1800" w:hanging="360"/>
      </w:pPr>
      <w:rPr>
        <w:rFonts w:ascii="Times New Roman" w:eastAsia="Times New Roman" w:hAnsi="Times New Roman" w:cs="Times New Roman" w:hint="default"/>
      </w:r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39" w15:restartNumberingAfterBreak="0">
    <w:nsid w:val="707205CD"/>
    <w:multiLevelType w:val="hybridMultilevel"/>
    <w:tmpl w:val="8F18161E"/>
    <w:lvl w:ilvl="0" w:tplc="B1349A20">
      <w:start w:val="1"/>
      <w:numFmt w:val="decimal"/>
      <w:lvlText w:val="(%1)"/>
      <w:lvlJc w:val="left"/>
      <w:pPr>
        <w:ind w:left="25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15:restartNumberingAfterBreak="0">
    <w:nsid w:val="726722DD"/>
    <w:multiLevelType w:val="hybridMultilevel"/>
    <w:tmpl w:val="3BA0E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506C82"/>
    <w:multiLevelType w:val="hybridMultilevel"/>
    <w:tmpl w:val="54CEE506"/>
    <w:lvl w:ilvl="0" w:tplc="E20C6830">
      <w:start w:val="1"/>
      <w:numFmt w:val="lowerLetter"/>
      <w:lvlText w:val="%1."/>
      <w:lvlJc w:val="left"/>
      <w:pPr>
        <w:ind w:left="1440" w:hanging="720"/>
      </w:pPr>
      <w:rPr>
        <w:rFonts w:ascii="Times New Roman" w:eastAsia="Times New Roman" w:hAnsi="Times New Roman" w:cs="Times New Roman"/>
      </w:rPr>
    </w:lvl>
    <w:lvl w:ilvl="1" w:tplc="04090019">
      <w:start w:val="1"/>
      <w:numFmt w:val="lowerLetter"/>
      <w:lvlText w:val="%2."/>
      <w:lvlJc w:val="left"/>
      <w:pPr>
        <w:ind w:left="1800" w:hanging="360"/>
      </w:pPr>
    </w:lvl>
    <w:lvl w:ilvl="2" w:tplc="0409000F">
      <w:start w:val="1"/>
      <w:numFmt w:val="decimal"/>
      <w:lvlText w:val="%3."/>
      <w:lvlJc w:val="left"/>
      <w:pPr>
        <w:ind w:left="2520" w:hanging="180"/>
      </w:pPr>
    </w:lvl>
    <w:lvl w:ilvl="3" w:tplc="B1349A20">
      <w:start w:val="1"/>
      <w:numFmt w:val="decimal"/>
      <w:lvlText w:val="(%4)"/>
      <w:lvlJc w:val="left"/>
      <w:pPr>
        <w:ind w:left="3240" w:hanging="360"/>
      </w:pPr>
      <w:rPr>
        <w:rFonts w:hint="default"/>
      </w:r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5C56857"/>
    <w:multiLevelType w:val="hybridMultilevel"/>
    <w:tmpl w:val="D0EA20D6"/>
    <w:lvl w:ilvl="0" w:tplc="29AAC7D2">
      <w:start w:val="1"/>
      <w:numFmt w:val="lowerLetter"/>
      <w:lvlText w:val="%1."/>
      <w:lvlJc w:val="left"/>
      <w:pPr>
        <w:ind w:left="1800" w:hanging="360"/>
      </w:pPr>
      <w:rPr>
        <w:rFonts w:ascii="Times New Roman" w:hAnsi="Times New Roman" w:cs="Times New Roman"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72758FB"/>
    <w:multiLevelType w:val="hybridMultilevel"/>
    <w:tmpl w:val="81CA8EAA"/>
    <w:lvl w:ilvl="0" w:tplc="3764751E">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4" w15:restartNumberingAfterBreak="0">
    <w:nsid w:val="790743F7"/>
    <w:multiLevelType w:val="hybridMultilevel"/>
    <w:tmpl w:val="082491DC"/>
    <w:lvl w:ilvl="0" w:tplc="9B3CDC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A5C6F40"/>
    <w:multiLevelType w:val="hybridMultilevel"/>
    <w:tmpl w:val="BF3E3E80"/>
    <w:lvl w:ilvl="0" w:tplc="8A9E4EDC">
      <w:start w:val="58"/>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734C21"/>
    <w:multiLevelType w:val="hybridMultilevel"/>
    <w:tmpl w:val="36FCAE50"/>
    <w:lvl w:ilvl="0" w:tplc="490A8F7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E25A54E8">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DC17C5"/>
    <w:multiLevelType w:val="hybridMultilevel"/>
    <w:tmpl w:val="9E1C0806"/>
    <w:lvl w:ilvl="0" w:tplc="A630196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31"/>
  </w:num>
  <w:num w:numId="3">
    <w:abstractNumId w:val="30"/>
  </w:num>
  <w:num w:numId="4">
    <w:abstractNumId w:val="20"/>
  </w:num>
  <w:num w:numId="5">
    <w:abstractNumId w:val="28"/>
  </w:num>
  <w:num w:numId="6">
    <w:abstractNumId w:val="2"/>
  </w:num>
  <w:num w:numId="7">
    <w:abstractNumId w:val="16"/>
  </w:num>
  <w:num w:numId="8">
    <w:abstractNumId w:val="7"/>
  </w:num>
  <w:num w:numId="9">
    <w:abstractNumId w:val="41"/>
  </w:num>
  <w:num w:numId="10">
    <w:abstractNumId w:val="37"/>
  </w:num>
  <w:num w:numId="11">
    <w:abstractNumId w:val="21"/>
  </w:num>
  <w:num w:numId="12">
    <w:abstractNumId w:val="46"/>
  </w:num>
  <w:num w:numId="13">
    <w:abstractNumId w:val="44"/>
  </w:num>
  <w:num w:numId="14">
    <w:abstractNumId w:val="18"/>
  </w:num>
  <w:num w:numId="15">
    <w:abstractNumId w:val="29"/>
  </w:num>
  <w:num w:numId="16">
    <w:abstractNumId w:val="3"/>
  </w:num>
  <w:num w:numId="17">
    <w:abstractNumId w:val="34"/>
  </w:num>
  <w:num w:numId="18">
    <w:abstractNumId w:val="36"/>
  </w:num>
  <w:num w:numId="19">
    <w:abstractNumId w:val="11"/>
  </w:num>
  <w:num w:numId="20">
    <w:abstractNumId w:val="24"/>
  </w:num>
  <w:num w:numId="21">
    <w:abstractNumId w:val="13"/>
  </w:num>
  <w:num w:numId="22">
    <w:abstractNumId w:val="1"/>
  </w:num>
  <w:num w:numId="23">
    <w:abstractNumId w:val="47"/>
  </w:num>
  <w:num w:numId="24">
    <w:abstractNumId w:val="25"/>
  </w:num>
  <w:num w:numId="25">
    <w:abstractNumId w:val="17"/>
  </w:num>
  <w:num w:numId="26">
    <w:abstractNumId w:val="38"/>
  </w:num>
  <w:num w:numId="27">
    <w:abstractNumId w:val="19"/>
  </w:num>
  <w:num w:numId="28">
    <w:abstractNumId w:val="42"/>
  </w:num>
  <w:num w:numId="29">
    <w:abstractNumId w:val="43"/>
  </w:num>
  <w:num w:numId="30">
    <w:abstractNumId w:val="8"/>
  </w:num>
  <w:num w:numId="31">
    <w:abstractNumId w:val="0"/>
  </w:num>
  <w:num w:numId="32">
    <w:abstractNumId w:val="27"/>
  </w:num>
  <w:num w:numId="33">
    <w:abstractNumId w:val="12"/>
  </w:num>
  <w:num w:numId="34">
    <w:abstractNumId w:val="35"/>
  </w:num>
  <w:num w:numId="35">
    <w:abstractNumId w:val="14"/>
  </w:num>
  <w:num w:numId="36">
    <w:abstractNumId w:val="39"/>
  </w:num>
  <w:num w:numId="37">
    <w:abstractNumId w:val="6"/>
  </w:num>
  <w:num w:numId="38">
    <w:abstractNumId w:val="26"/>
  </w:num>
  <w:num w:numId="39">
    <w:abstractNumId w:val="40"/>
  </w:num>
  <w:num w:numId="40">
    <w:abstractNumId w:val="9"/>
  </w:num>
  <w:num w:numId="41">
    <w:abstractNumId w:val="22"/>
  </w:num>
  <w:num w:numId="42">
    <w:abstractNumId w:val="4"/>
  </w:num>
  <w:num w:numId="43">
    <w:abstractNumId w:val="5"/>
  </w:num>
  <w:num w:numId="44">
    <w:abstractNumId w:val="45"/>
  </w:num>
  <w:num w:numId="45">
    <w:abstractNumId w:val="33"/>
  </w:num>
  <w:num w:numId="46">
    <w:abstractNumId w:val="23"/>
  </w:num>
  <w:num w:numId="47">
    <w:abstractNumId w:val="10"/>
  </w:num>
  <w:num w:numId="48">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786"/>
    <w:rsid w:val="0000028B"/>
    <w:rsid w:val="00002ED0"/>
    <w:rsid w:val="00005165"/>
    <w:rsid w:val="00005AB8"/>
    <w:rsid w:val="000073D7"/>
    <w:rsid w:val="00011B3C"/>
    <w:rsid w:val="0001589F"/>
    <w:rsid w:val="0001789F"/>
    <w:rsid w:val="00022134"/>
    <w:rsid w:val="0002377A"/>
    <w:rsid w:val="00024C69"/>
    <w:rsid w:val="000252F3"/>
    <w:rsid w:val="000267EF"/>
    <w:rsid w:val="0002740E"/>
    <w:rsid w:val="00027F41"/>
    <w:rsid w:val="000310A4"/>
    <w:rsid w:val="00032AB9"/>
    <w:rsid w:val="00034DB0"/>
    <w:rsid w:val="0003577D"/>
    <w:rsid w:val="00040745"/>
    <w:rsid w:val="00044C83"/>
    <w:rsid w:val="00046F3C"/>
    <w:rsid w:val="0004704E"/>
    <w:rsid w:val="00050478"/>
    <w:rsid w:val="0006029E"/>
    <w:rsid w:val="00060381"/>
    <w:rsid w:val="00060E5F"/>
    <w:rsid w:val="00061804"/>
    <w:rsid w:val="00063FE8"/>
    <w:rsid w:val="000672E5"/>
    <w:rsid w:val="00071EF2"/>
    <w:rsid w:val="00073E65"/>
    <w:rsid w:val="00074C66"/>
    <w:rsid w:val="0007796D"/>
    <w:rsid w:val="00077E39"/>
    <w:rsid w:val="00084C46"/>
    <w:rsid w:val="00084DF0"/>
    <w:rsid w:val="000863CD"/>
    <w:rsid w:val="00087786"/>
    <w:rsid w:val="000879C8"/>
    <w:rsid w:val="000909EF"/>
    <w:rsid w:val="00090BB6"/>
    <w:rsid w:val="00091A27"/>
    <w:rsid w:val="00093350"/>
    <w:rsid w:val="00095AFA"/>
    <w:rsid w:val="00097269"/>
    <w:rsid w:val="000A0089"/>
    <w:rsid w:val="000A1391"/>
    <w:rsid w:val="000A2F51"/>
    <w:rsid w:val="000A4322"/>
    <w:rsid w:val="000A7E93"/>
    <w:rsid w:val="000B0C75"/>
    <w:rsid w:val="000B3890"/>
    <w:rsid w:val="000B55A7"/>
    <w:rsid w:val="000C0EAD"/>
    <w:rsid w:val="000C2FB0"/>
    <w:rsid w:val="000C47F8"/>
    <w:rsid w:val="000C4E01"/>
    <w:rsid w:val="000C579A"/>
    <w:rsid w:val="000C6D8D"/>
    <w:rsid w:val="000D0599"/>
    <w:rsid w:val="000D31D6"/>
    <w:rsid w:val="000D454E"/>
    <w:rsid w:val="000D54AD"/>
    <w:rsid w:val="000D54BB"/>
    <w:rsid w:val="000D66EA"/>
    <w:rsid w:val="000D6A0B"/>
    <w:rsid w:val="000E0475"/>
    <w:rsid w:val="000E0D50"/>
    <w:rsid w:val="000E3AAB"/>
    <w:rsid w:val="000F38DE"/>
    <w:rsid w:val="000F4273"/>
    <w:rsid w:val="00103E91"/>
    <w:rsid w:val="001059F4"/>
    <w:rsid w:val="001079A4"/>
    <w:rsid w:val="001104F5"/>
    <w:rsid w:val="00110CE6"/>
    <w:rsid w:val="00111214"/>
    <w:rsid w:val="001138F1"/>
    <w:rsid w:val="00113D84"/>
    <w:rsid w:val="00114D8E"/>
    <w:rsid w:val="00115433"/>
    <w:rsid w:val="001168ED"/>
    <w:rsid w:val="00117950"/>
    <w:rsid w:val="00117FEC"/>
    <w:rsid w:val="0012035E"/>
    <w:rsid w:val="00122160"/>
    <w:rsid w:val="00122B5E"/>
    <w:rsid w:val="0012524A"/>
    <w:rsid w:val="00126A75"/>
    <w:rsid w:val="00131ED0"/>
    <w:rsid w:val="00132826"/>
    <w:rsid w:val="001348C2"/>
    <w:rsid w:val="0013577F"/>
    <w:rsid w:val="00135C62"/>
    <w:rsid w:val="00136538"/>
    <w:rsid w:val="0014116C"/>
    <w:rsid w:val="00142348"/>
    <w:rsid w:val="00146195"/>
    <w:rsid w:val="00146625"/>
    <w:rsid w:val="0015060B"/>
    <w:rsid w:val="00150F99"/>
    <w:rsid w:val="001535C3"/>
    <w:rsid w:val="0015362A"/>
    <w:rsid w:val="00156F93"/>
    <w:rsid w:val="001600AC"/>
    <w:rsid w:val="001600E2"/>
    <w:rsid w:val="00161B36"/>
    <w:rsid w:val="0016250A"/>
    <w:rsid w:val="00162B27"/>
    <w:rsid w:val="00164915"/>
    <w:rsid w:val="00165BF1"/>
    <w:rsid w:val="001672D5"/>
    <w:rsid w:val="0016780C"/>
    <w:rsid w:val="00173491"/>
    <w:rsid w:val="0017447B"/>
    <w:rsid w:val="00175868"/>
    <w:rsid w:val="00175B3C"/>
    <w:rsid w:val="00177C1D"/>
    <w:rsid w:val="0018120B"/>
    <w:rsid w:val="00183068"/>
    <w:rsid w:val="0018373A"/>
    <w:rsid w:val="00184815"/>
    <w:rsid w:val="00187210"/>
    <w:rsid w:val="00191722"/>
    <w:rsid w:val="00192236"/>
    <w:rsid w:val="00193166"/>
    <w:rsid w:val="001962E5"/>
    <w:rsid w:val="00196EC9"/>
    <w:rsid w:val="00197D3D"/>
    <w:rsid w:val="001A0D0E"/>
    <w:rsid w:val="001A111E"/>
    <w:rsid w:val="001A1968"/>
    <w:rsid w:val="001A2D4E"/>
    <w:rsid w:val="001A6269"/>
    <w:rsid w:val="001B0D26"/>
    <w:rsid w:val="001B106E"/>
    <w:rsid w:val="001B1A01"/>
    <w:rsid w:val="001B2ECF"/>
    <w:rsid w:val="001B6956"/>
    <w:rsid w:val="001B7BB7"/>
    <w:rsid w:val="001C2270"/>
    <w:rsid w:val="001C327C"/>
    <w:rsid w:val="001C32DE"/>
    <w:rsid w:val="001C445A"/>
    <w:rsid w:val="001C5BD3"/>
    <w:rsid w:val="001C62CA"/>
    <w:rsid w:val="001C64DD"/>
    <w:rsid w:val="001C67E1"/>
    <w:rsid w:val="001C7564"/>
    <w:rsid w:val="001D0285"/>
    <w:rsid w:val="001D0FE6"/>
    <w:rsid w:val="001D54C6"/>
    <w:rsid w:val="001D7AD0"/>
    <w:rsid w:val="001E10C0"/>
    <w:rsid w:val="001E38C9"/>
    <w:rsid w:val="001E5BCB"/>
    <w:rsid w:val="001E6CD3"/>
    <w:rsid w:val="001F0E83"/>
    <w:rsid w:val="001F0F1C"/>
    <w:rsid w:val="001F243C"/>
    <w:rsid w:val="001F2B68"/>
    <w:rsid w:val="001F5BF4"/>
    <w:rsid w:val="001F79A9"/>
    <w:rsid w:val="00202FD9"/>
    <w:rsid w:val="00210857"/>
    <w:rsid w:val="0021491A"/>
    <w:rsid w:val="00222CE0"/>
    <w:rsid w:val="00224FF4"/>
    <w:rsid w:val="00225EA5"/>
    <w:rsid w:val="00226FEA"/>
    <w:rsid w:val="00233D49"/>
    <w:rsid w:val="00235988"/>
    <w:rsid w:val="00235AA6"/>
    <w:rsid w:val="002406C5"/>
    <w:rsid w:val="002420F4"/>
    <w:rsid w:val="00250670"/>
    <w:rsid w:val="00250D19"/>
    <w:rsid w:val="00251454"/>
    <w:rsid w:val="002525D1"/>
    <w:rsid w:val="00252FAB"/>
    <w:rsid w:val="00254FF5"/>
    <w:rsid w:val="00256196"/>
    <w:rsid w:val="002574B4"/>
    <w:rsid w:val="00257EDF"/>
    <w:rsid w:val="00261F6C"/>
    <w:rsid w:val="0026330D"/>
    <w:rsid w:val="00263826"/>
    <w:rsid w:val="0026487E"/>
    <w:rsid w:val="00264EDD"/>
    <w:rsid w:val="00270D24"/>
    <w:rsid w:val="00271D5D"/>
    <w:rsid w:val="00273336"/>
    <w:rsid w:val="00276A08"/>
    <w:rsid w:val="00276C70"/>
    <w:rsid w:val="002827DA"/>
    <w:rsid w:val="00286B5E"/>
    <w:rsid w:val="002932EF"/>
    <w:rsid w:val="002934C9"/>
    <w:rsid w:val="00293D4F"/>
    <w:rsid w:val="00293FAE"/>
    <w:rsid w:val="00295072"/>
    <w:rsid w:val="0029527D"/>
    <w:rsid w:val="00295CED"/>
    <w:rsid w:val="00295EAC"/>
    <w:rsid w:val="002A00CC"/>
    <w:rsid w:val="002A1410"/>
    <w:rsid w:val="002A2287"/>
    <w:rsid w:val="002A4258"/>
    <w:rsid w:val="002A72B5"/>
    <w:rsid w:val="002B1EBD"/>
    <w:rsid w:val="002B3191"/>
    <w:rsid w:val="002B3820"/>
    <w:rsid w:val="002B3EB6"/>
    <w:rsid w:val="002B4661"/>
    <w:rsid w:val="002C18FD"/>
    <w:rsid w:val="002C3F40"/>
    <w:rsid w:val="002C6046"/>
    <w:rsid w:val="002D2FB4"/>
    <w:rsid w:val="002D4CEF"/>
    <w:rsid w:val="002D6054"/>
    <w:rsid w:val="002D6396"/>
    <w:rsid w:val="002E025D"/>
    <w:rsid w:val="002E04A8"/>
    <w:rsid w:val="002E21C2"/>
    <w:rsid w:val="002E46E4"/>
    <w:rsid w:val="002E5E2F"/>
    <w:rsid w:val="002E7C16"/>
    <w:rsid w:val="003077C1"/>
    <w:rsid w:val="00310043"/>
    <w:rsid w:val="003101C9"/>
    <w:rsid w:val="00310904"/>
    <w:rsid w:val="0031133D"/>
    <w:rsid w:val="00312E38"/>
    <w:rsid w:val="003138AD"/>
    <w:rsid w:val="00314DA2"/>
    <w:rsid w:val="00315D41"/>
    <w:rsid w:val="003208B4"/>
    <w:rsid w:val="00320940"/>
    <w:rsid w:val="00325073"/>
    <w:rsid w:val="003268A3"/>
    <w:rsid w:val="00332B1A"/>
    <w:rsid w:val="00332C4B"/>
    <w:rsid w:val="00332FDB"/>
    <w:rsid w:val="003347F8"/>
    <w:rsid w:val="00335A25"/>
    <w:rsid w:val="00335C1B"/>
    <w:rsid w:val="00340786"/>
    <w:rsid w:val="00343B70"/>
    <w:rsid w:val="00346D3A"/>
    <w:rsid w:val="003520FF"/>
    <w:rsid w:val="0035423A"/>
    <w:rsid w:val="0035592F"/>
    <w:rsid w:val="00355A3E"/>
    <w:rsid w:val="00355F31"/>
    <w:rsid w:val="00356A40"/>
    <w:rsid w:val="00365589"/>
    <w:rsid w:val="00371EB5"/>
    <w:rsid w:val="00372224"/>
    <w:rsid w:val="003733C1"/>
    <w:rsid w:val="00373EB7"/>
    <w:rsid w:val="003741B4"/>
    <w:rsid w:val="003750A5"/>
    <w:rsid w:val="00380B1C"/>
    <w:rsid w:val="00381765"/>
    <w:rsid w:val="0038606C"/>
    <w:rsid w:val="003904E6"/>
    <w:rsid w:val="00392074"/>
    <w:rsid w:val="003952B5"/>
    <w:rsid w:val="00395334"/>
    <w:rsid w:val="0039624C"/>
    <w:rsid w:val="0039741A"/>
    <w:rsid w:val="003A3067"/>
    <w:rsid w:val="003A38CA"/>
    <w:rsid w:val="003A3ACA"/>
    <w:rsid w:val="003A3E5D"/>
    <w:rsid w:val="003A4161"/>
    <w:rsid w:val="003A4D62"/>
    <w:rsid w:val="003B15A2"/>
    <w:rsid w:val="003B22A7"/>
    <w:rsid w:val="003B2EB8"/>
    <w:rsid w:val="003B30F2"/>
    <w:rsid w:val="003B5C3A"/>
    <w:rsid w:val="003B72D7"/>
    <w:rsid w:val="003C0C5B"/>
    <w:rsid w:val="003C1E9F"/>
    <w:rsid w:val="003C7880"/>
    <w:rsid w:val="003D63C5"/>
    <w:rsid w:val="003D676A"/>
    <w:rsid w:val="003D7BDB"/>
    <w:rsid w:val="003E17BD"/>
    <w:rsid w:val="003E2620"/>
    <w:rsid w:val="003E6274"/>
    <w:rsid w:val="003E6B84"/>
    <w:rsid w:val="003E7562"/>
    <w:rsid w:val="003F1B85"/>
    <w:rsid w:val="003F1FD5"/>
    <w:rsid w:val="003F4386"/>
    <w:rsid w:val="003F5668"/>
    <w:rsid w:val="00400909"/>
    <w:rsid w:val="00404CAC"/>
    <w:rsid w:val="00411480"/>
    <w:rsid w:val="0041782D"/>
    <w:rsid w:val="00422B8E"/>
    <w:rsid w:val="00423844"/>
    <w:rsid w:val="00423A6A"/>
    <w:rsid w:val="00427C96"/>
    <w:rsid w:val="00431C1B"/>
    <w:rsid w:val="00432256"/>
    <w:rsid w:val="00432B4B"/>
    <w:rsid w:val="004343E9"/>
    <w:rsid w:val="00435474"/>
    <w:rsid w:val="0043558C"/>
    <w:rsid w:val="004356AC"/>
    <w:rsid w:val="004373A7"/>
    <w:rsid w:val="00446674"/>
    <w:rsid w:val="00447146"/>
    <w:rsid w:val="00447755"/>
    <w:rsid w:val="0045039D"/>
    <w:rsid w:val="00451E25"/>
    <w:rsid w:val="00452D2C"/>
    <w:rsid w:val="00455CFA"/>
    <w:rsid w:val="00456651"/>
    <w:rsid w:val="0045682D"/>
    <w:rsid w:val="00460C7D"/>
    <w:rsid w:val="004637E7"/>
    <w:rsid w:val="00465C00"/>
    <w:rsid w:val="00465EFC"/>
    <w:rsid w:val="00466CA9"/>
    <w:rsid w:val="00466FFA"/>
    <w:rsid w:val="00467DD0"/>
    <w:rsid w:val="00470D44"/>
    <w:rsid w:val="004713BD"/>
    <w:rsid w:val="00472971"/>
    <w:rsid w:val="0047629A"/>
    <w:rsid w:val="00483A6B"/>
    <w:rsid w:val="004911AB"/>
    <w:rsid w:val="004A27D8"/>
    <w:rsid w:val="004A34CC"/>
    <w:rsid w:val="004A3689"/>
    <w:rsid w:val="004A38A4"/>
    <w:rsid w:val="004A778F"/>
    <w:rsid w:val="004B1917"/>
    <w:rsid w:val="004B1DC1"/>
    <w:rsid w:val="004B2837"/>
    <w:rsid w:val="004B3616"/>
    <w:rsid w:val="004B4AB2"/>
    <w:rsid w:val="004B4D0D"/>
    <w:rsid w:val="004B7E1D"/>
    <w:rsid w:val="004C0D29"/>
    <w:rsid w:val="004C339E"/>
    <w:rsid w:val="004C3E99"/>
    <w:rsid w:val="004D0A4C"/>
    <w:rsid w:val="004D3D78"/>
    <w:rsid w:val="004D504D"/>
    <w:rsid w:val="004D645D"/>
    <w:rsid w:val="004D6E17"/>
    <w:rsid w:val="004E015C"/>
    <w:rsid w:val="004E03F7"/>
    <w:rsid w:val="004E1001"/>
    <w:rsid w:val="004E2766"/>
    <w:rsid w:val="004E350D"/>
    <w:rsid w:val="004E6320"/>
    <w:rsid w:val="004E7AEC"/>
    <w:rsid w:val="004F0B30"/>
    <w:rsid w:val="004F1EF5"/>
    <w:rsid w:val="004F34BD"/>
    <w:rsid w:val="004F601C"/>
    <w:rsid w:val="004F7B42"/>
    <w:rsid w:val="0050210C"/>
    <w:rsid w:val="005100B7"/>
    <w:rsid w:val="00510DB6"/>
    <w:rsid w:val="005119D8"/>
    <w:rsid w:val="005135EB"/>
    <w:rsid w:val="00514952"/>
    <w:rsid w:val="00524FB4"/>
    <w:rsid w:val="00525106"/>
    <w:rsid w:val="00525CFA"/>
    <w:rsid w:val="005271AE"/>
    <w:rsid w:val="005271ED"/>
    <w:rsid w:val="00527FF2"/>
    <w:rsid w:val="00533B8A"/>
    <w:rsid w:val="00535981"/>
    <w:rsid w:val="00536955"/>
    <w:rsid w:val="00543942"/>
    <w:rsid w:val="00547EEB"/>
    <w:rsid w:val="00553358"/>
    <w:rsid w:val="0055376E"/>
    <w:rsid w:val="00555DDC"/>
    <w:rsid w:val="00560592"/>
    <w:rsid w:val="00561148"/>
    <w:rsid w:val="00564342"/>
    <w:rsid w:val="00571921"/>
    <w:rsid w:val="0057601C"/>
    <w:rsid w:val="00576A29"/>
    <w:rsid w:val="00577B2F"/>
    <w:rsid w:val="005800A7"/>
    <w:rsid w:val="00581F0B"/>
    <w:rsid w:val="0058487C"/>
    <w:rsid w:val="00585A08"/>
    <w:rsid w:val="00586B07"/>
    <w:rsid w:val="00587842"/>
    <w:rsid w:val="00590525"/>
    <w:rsid w:val="005926AD"/>
    <w:rsid w:val="005932A9"/>
    <w:rsid w:val="0059504F"/>
    <w:rsid w:val="00597C61"/>
    <w:rsid w:val="005A1BFF"/>
    <w:rsid w:val="005A260F"/>
    <w:rsid w:val="005A4B56"/>
    <w:rsid w:val="005A6B56"/>
    <w:rsid w:val="005A70D6"/>
    <w:rsid w:val="005B1D55"/>
    <w:rsid w:val="005B368F"/>
    <w:rsid w:val="005B4237"/>
    <w:rsid w:val="005B57BE"/>
    <w:rsid w:val="005B794F"/>
    <w:rsid w:val="005C00FE"/>
    <w:rsid w:val="005C0E15"/>
    <w:rsid w:val="005C19F3"/>
    <w:rsid w:val="005C4FE1"/>
    <w:rsid w:val="005C654C"/>
    <w:rsid w:val="005E0F71"/>
    <w:rsid w:val="005E3B31"/>
    <w:rsid w:val="005E4CB4"/>
    <w:rsid w:val="005F0C51"/>
    <w:rsid w:val="005F358C"/>
    <w:rsid w:val="005F3EFC"/>
    <w:rsid w:val="005F519B"/>
    <w:rsid w:val="005F6228"/>
    <w:rsid w:val="005F7F23"/>
    <w:rsid w:val="00603D7C"/>
    <w:rsid w:val="006044F6"/>
    <w:rsid w:val="006100B9"/>
    <w:rsid w:val="00611B67"/>
    <w:rsid w:val="00612B12"/>
    <w:rsid w:val="00614712"/>
    <w:rsid w:val="00614BE9"/>
    <w:rsid w:val="0061556C"/>
    <w:rsid w:val="006213C4"/>
    <w:rsid w:val="006239CE"/>
    <w:rsid w:val="0062675A"/>
    <w:rsid w:val="0062792A"/>
    <w:rsid w:val="00627C7F"/>
    <w:rsid w:val="00630194"/>
    <w:rsid w:val="0063051A"/>
    <w:rsid w:val="0063418C"/>
    <w:rsid w:val="00634F63"/>
    <w:rsid w:val="00635993"/>
    <w:rsid w:val="006369FC"/>
    <w:rsid w:val="00637731"/>
    <w:rsid w:val="006411F8"/>
    <w:rsid w:val="00641AC2"/>
    <w:rsid w:val="0064294C"/>
    <w:rsid w:val="00644068"/>
    <w:rsid w:val="006450A6"/>
    <w:rsid w:val="006464FE"/>
    <w:rsid w:val="00651552"/>
    <w:rsid w:val="00651B19"/>
    <w:rsid w:val="006541DB"/>
    <w:rsid w:val="00655C89"/>
    <w:rsid w:val="00657AD0"/>
    <w:rsid w:val="00661E5A"/>
    <w:rsid w:val="00663AF8"/>
    <w:rsid w:val="00665BE9"/>
    <w:rsid w:val="00670770"/>
    <w:rsid w:val="00670ACF"/>
    <w:rsid w:val="00671C23"/>
    <w:rsid w:val="006750AE"/>
    <w:rsid w:val="00675867"/>
    <w:rsid w:val="006765E7"/>
    <w:rsid w:val="006814FD"/>
    <w:rsid w:val="006816A2"/>
    <w:rsid w:val="0068208B"/>
    <w:rsid w:val="00682DFF"/>
    <w:rsid w:val="0068314B"/>
    <w:rsid w:val="00684849"/>
    <w:rsid w:val="00684962"/>
    <w:rsid w:val="00684999"/>
    <w:rsid w:val="00686511"/>
    <w:rsid w:val="006904C7"/>
    <w:rsid w:val="00695791"/>
    <w:rsid w:val="006A041B"/>
    <w:rsid w:val="006A0AB2"/>
    <w:rsid w:val="006A11D7"/>
    <w:rsid w:val="006A36B3"/>
    <w:rsid w:val="006A4BB8"/>
    <w:rsid w:val="006A6BD9"/>
    <w:rsid w:val="006B03E2"/>
    <w:rsid w:val="006B2178"/>
    <w:rsid w:val="006B46A5"/>
    <w:rsid w:val="006B57F1"/>
    <w:rsid w:val="006B622F"/>
    <w:rsid w:val="006B65F4"/>
    <w:rsid w:val="006C06B0"/>
    <w:rsid w:val="006C1D7C"/>
    <w:rsid w:val="006C2FE5"/>
    <w:rsid w:val="006C451D"/>
    <w:rsid w:val="006C49D7"/>
    <w:rsid w:val="006C6D8F"/>
    <w:rsid w:val="006D1C79"/>
    <w:rsid w:val="006D4BF4"/>
    <w:rsid w:val="006E41FC"/>
    <w:rsid w:val="006E619D"/>
    <w:rsid w:val="006E75BF"/>
    <w:rsid w:val="006F29B6"/>
    <w:rsid w:val="006F415B"/>
    <w:rsid w:val="006F56DB"/>
    <w:rsid w:val="006F63B1"/>
    <w:rsid w:val="006F7AE6"/>
    <w:rsid w:val="007010CB"/>
    <w:rsid w:val="007012F8"/>
    <w:rsid w:val="00701D1B"/>
    <w:rsid w:val="007104BF"/>
    <w:rsid w:val="00710FC0"/>
    <w:rsid w:val="00715FEF"/>
    <w:rsid w:val="00717756"/>
    <w:rsid w:val="00720EF1"/>
    <w:rsid w:val="00721170"/>
    <w:rsid w:val="007211BF"/>
    <w:rsid w:val="00722E70"/>
    <w:rsid w:val="00723CFB"/>
    <w:rsid w:val="00723D23"/>
    <w:rsid w:val="00732311"/>
    <w:rsid w:val="00732E79"/>
    <w:rsid w:val="00733AAD"/>
    <w:rsid w:val="00733ECA"/>
    <w:rsid w:val="0073440E"/>
    <w:rsid w:val="00740F1F"/>
    <w:rsid w:val="0074170F"/>
    <w:rsid w:val="00742723"/>
    <w:rsid w:val="00745B28"/>
    <w:rsid w:val="0074748C"/>
    <w:rsid w:val="00747770"/>
    <w:rsid w:val="007479DD"/>
    <w:rsid w:val="00750B8B"/>
    <w:rsid w:val="0075374C"/>
    <w:rsid w:val="00753ADC"/>
    <w:rsid w:val="00753CCE"/>
    <w:rsid w:val="00756BD3"/>
    <w:rsid w:val="007630CF"/>
    <w:rsid w:val="00763507"/>
    <w:rsid w:val="00767D7D"/>
    <w:rsid w:val="00770265"/>
    <w:rsid w:val="00771B45"/>
    <w:rsid w:val="00775555"/>
    <w:rsid w:val="00782D39"/>
    <w:rsid w:val="007832F6"/>
    <w:rsid w:val="00785CA3"/>
    <w:rsid w:val="00787BAB"/>
    <w:rsid w:val="00790C52"/>
    <w:rsid w:val="0079488C"/>
    <w:rsid w:val="00794890"/>
    <w:rsid w:val="00795253"/>
    <w:rsid w:val="007962C9"/>
    <w:rsid w:val="007973D7"/>
    <w:rsid w:val="007A01E3"/>
    <w:rsid w:val="007A34CC"/>
    <w:rsid w:val="007A393D"/>
    <w:rsid w:val="007A3DB5"/>
    <w:rsid w:val="007A4A91"/>
    <w:rsid w:val="007A50C7"/>
    <w:rsid w:val="007A63D0"/>
    <w:rsid w:val="007A6672"/>
    <w:rsid w:val="007A6FB5"/>
    <w:rsid w:val="007A751C"/>
    <w:rsid w:val="007B2FDC"/>
    <w:rsid w:val="007B45EC"/>
    <w:rsid w:val="007C306C"/>
    <w:rsid w:val="007C6D85"/>
    <w:rsid w:val="007D0A07"/>
    <w:rsid w:val="007D1FF6"/>
    <w:rsid w:val="007D204E"/>
    <w:rsid w:val="007D43F4"/>
    <w:rsid w:val="007D5A65"/>
    <w:rsid w:val="007D69C0"/>
    <w:rsid w:val="007E5FE4"/>
    <w:rsid w:val="007E6CB1"/>
    <w:rsid w:val="007F3A11"/>
    <w:rsid w:val="007F4128"/>
    <w:rsid w:val="00800BF9"/>
    <w:rsid w:val="00802102"/>
    <w:rsid w:val="008110E5"/>
    <w:rsid w:val="0081132E"/>
    <w:rsid w:val="00814D6E"/>
    <w:rsid w:val="00817C7A"/>
    <w:rsid w:val="0082212A"/>
    <w:rsid w:val="0082264B"/>
    <w:rsid w:val="008249CF"/>
    <w:rsid w:val="008268E5"/>
    <w:rsid w:val="00830255"/>
    <w:rsid w:val="00833A06"/>
    <w:rsid w:val="00835795"/>
    <w:rsid w:val="00842B86"/>
    <w:rsid w:val="00850573"/>
    <w:rsid w:val="008546D0"/>
    <w:rsid w:val="008579C9"/>
    <w:rsid w:val="00863C77"/>
    <w:rsid w:val="008701FE"/>
    <w:rsid w:val="00873066"/>
    <w:rsid w:val="00875AF0"/>
    <w:rsid w:val="00877492"/>
    <w:rsid w:val="008809DD"/>
    <w:rsid w:val="00884DC7"/>
    <w:rsid w:val="0088699C"/>
    <w:rsid w:val="00887D84"/>
    <w:rsid w:val="00890979"/>
    <w:rsid w:val="00890DAE"/>
    <w:rsid w:val="008916D7"/>
    <w:rsid w:val="00894621"/>
    <w:rsid w:val="00895FD9"/>
    <w:rsid w:val="00897732"/>
    <w:rsid w:val="008A08F7"/>
    <w:rsid w:val="008A206E"/>
    <w:rsid w:val="008A21D8"/>
    <w:rsid w:val="008A29E1"/>
    <w:rsid w:val="008A475B"/>
    <w:rsid w:val="008A58C9"/>
    <w:rsid w:val="008B07E8"/>
    <w:rsid w:val="008B1508"/>
    <w:rsid w:val="008B1B83"/>
    <w:rsid w:val="008B1BFC"/>
    <w:rsid w:val="008B3241"/>
    <w:rsid w:val="008B3B0E"/>
    <w:rsid w:val="008B5956"/>
    <w:rsid w:val="008C0F15"/>
    <w:rsid w:val="008C2E00"/>
    <w:rsid w:val="008C351C"/>
    <w:rsid w:val="008C47AE"/>
    <w:rsid w:val="008C7313"/>
    <w:rsid w:val="008D15B9"/>
    <w:rsid w:val="008D19D4"/>
    <w:rsid w:val="008D1AC5"/>
    <w:rsid w:val="008D261A"/>
    <w:rsid w:val="008D7006"/>
    <w:rsid w:val="008D7BF8"/>
    <w:rsid w:val="008D7E6A"/>
    <w:rsid w:val="008E13E6"/>
    <w:rsid w:val="008E15DC"/>
    <w:rsid w:val="008E6B78"/>
    <w:rsid w:val="008E6CE3"/>
    <w:rsid w:val="008F069D"/>
    <w:rsid w:val="008F14D0"/>
    <w:rsid w:val="0090085F"/>
    <w:rsid w:val="00900A22"/>
    <w:rsid w:val="00900D89"/>
    <w:rsid w:val="00903889"/>
    <w:rsid w:val="00904141"/>
    <w:rsid w:val="00904186"/>
    <w:rsid w:val="00905474"/>
    <w:rsid w:val="00906912"/>
    <w:rsid w:val="00906D2B"/>
    <w:rsid w:val="00910F61"/>
    <w:rsid w:val="009114D1"/>
    <w:rsid w:val="00913839"/>
    <w:rsid w:val="00920354"/>
    <w:rsid w:val="009206EC"/>
    <w:rsid w:val="00923454"/>
    <w:rsid w:val="009240CB"/>
    <w:rsid w:val="00925C0C"/>
    <w:rsid w:val="00927824"/>
    <w:rsid w:val="00931516"/>
    <w:rsid w:val="00935D09"/>
    <w:rsid w:val="00937A1D"/>
    <w:rsid w:val="00942EDA"/>
    <w:rsid w:val="009432EC"/>
    <w:rsid w:val="00943ADF"/>
    <w:rsid w:val="00944051"/>
    <w:rsid w:val="00946C09"/>
    <w:rsid w:val="00947999"/>
    <w:rsid w:val="00950FA9"/>
    <w:rsid w:val="0095167C"/>
    <w:rsid w:val="009534AC"/>
    <w:rsid w:val="00960175"/>
    <w:rsid w:val="00960E1F"/>
    <w:rsid w:val="009619B7"/>
    <w:rsid w:val="00965304"/>
    <w:rsid w:val="009710CA"/>
    <w:rsid w:val="009711AC"/>
    <w:rsid w:val="0097344C"/>
    <w:rsid w:val="009736F4"/>
    <w:rsid w:val="0097393D"/>
    <w:rsid w:val="00976444"/>
    <w:rsid w:val="00977FF5"/>
    <w:rsid w:val="00982BB7"/>
    <w:rsid w:val="009869D8"/>
    <w:rsid w:val="00987201"/>
    <w:rsid w:val="00987B5D"/>
    <w:rsid w:val="009903C2"/>
    <w:rsid w:val="00992416"/>
    <w:rsid w:val="00994A6A"/>
    <w:rsid w:val="009A05AA"/>
    <w:rsid w:val="009A1289"/>
    <w:rsid w:val="009A7B09"/>
    <w:rsid w:val="009B2C73"/>
    <w:rsid w:val="009B4F8C"/>
    <w:rsid w:val="009B5C70"/>
    <w:rsid w:val="009B7A38"/>
    <w:rsid w:val="009C051B"/>
    <w:rsid w:val="009D06F7"/>
    <w:rsid w:val="009D15E2"/>
    <w:rsid w:val="009D49FE"/>
    <w:rsid w:val="009D6410"/>
    <w:rsid w:val="009D7337"/>
    <w:rsid w:val="009D76CD"/>
    <w:rsid w:val="009E478A"/>
    <w:rsid w:val="009E600B"/>
    <w:rsid w:val="009E706F"/>
    <w:rsid w:val="009E71CA"/>
    <w:rsid w:val="009E73A0"/>
    <w:rsid w:val="009F0A20"/>
    <w:rsid w:val="009F7238"/>
    <w:rsid w:val="009F7FC3"/>
    <w:rsid w:val="00A00998"/>
    <w:rsid w:val="00A03535"/>
    <w:rsid w:val="00A03A59"/>
    <w:rsid w:val="00A106B2"/>
    <w:rsid w:val="00A11660"/>
    <w:rsid w:val="00A12379"/>
    <w:rsid w:val="00A161BE"/>
    <w:rsid w:val="00A17833"/>
    <w:rsid w:val="00A20990"/>
    <w:rsid w:val="00A24AF5"/>
    <w:rsid w:val="00A3340F"/>
    <w:rsid w:val="00A33A20"/>
    <w:rsid w:val="00A33C61"/>
    <w:rsid w:val="00A33F1F"/>
    <w:rsid w:val="00A343F7"/>
    <w:rsid w:val="00A350B1"/>
    <w:rsid w:val="00A377C3"/>
    <w:rsid w:val="00A41042"/>
    <w:rsid w:val="00A425E8"/>
    <w:rsid w:val="00A42B69"/>
    <w:rsid w:val="00A43C0D"/>
    <w:rsid w:val="00A4659B"/>
    <w:rsid w:val="00A5046E"/>
    <w:rsid w:val="00A52223"/>
    <w:rsid w:val="00A53557"/>
    <w:rsid w:val="00A63480"/>
    <w:rsid w:val="00A646B7"/>
    <w:rsid w:val="00A656B1"/>
    <w:rsid w:val="00A66535"/>
    <w:rsid w:val="00A70794"/>
    <w:rsid w:val="00A72582"/>
    <w:rsid w:val="00A72797"/>
    <w:rsid w:val="00A754B1"/>
    <w:rsid w:val="00A76B69"/>
    <w:rsid w:val="00A76E7C"/>
    <w:rsid w:val="00A81530"/>
    <w:rsid w:val="00A84EEF"/>
    <w:rsid w:val="00A85176"/>
    <w:rsid w:val="00A859B0"/>
    <w:rsid w:val="00A864CC"/>
    <w:rsid w:val="00A87B90"/>
    <w:rsid w:val="00A9084C"/>
    <w:rsid w:val="00A90A2B"/>
    <w:rsid w:val="00A90DD4"/>
    <w:rsid w:val="00A9127F"/>
    <w:rsid w:val="00A917DA"/>
    <w:rsid w:val="00A91FFF"/>
    <w:rsid w:val="00A9256B"/>
    <w:rsid w:val="00A94032"/>
    <w:rsid w:val="00A94DA4"/>
    <w:rsid w:val="00A96BB3"/>
    <w:rsid w:val="00A96EC1"/>
    <w:rsid w:val="00AA0E35"/>
    <w:rsid w:val="00AA32AD"/>
    <w:rsid w:val="00AA380C"/>
    <w:rsid w:val="00AA5E88"/>
    <w:rsid w:val="00AA6206"/>
    <w:rsid w:val="00AA75C8"/>
    <w:rsid w:val="00AB04BF"/>
    <w:rsid w:val="00AB0D11"/>
    <w:rsid w:val="00AB1454"/>
    <w:rsid w:val="00AB1645"/>
    <w:rsid w:val="00AB2E77"/>
    <w:rsid w:val="00AB4AA2"/>
    <w:rsid w:val="00AB4E26"/>
    <w:rsid w:val="00AC1F29"/>
    <w:rsid w:val="00AC5970"/>
    <w:rsid w:val="00AD0BD4"/>
    <w:rsid w:val="00AD520C"/>
    <w:rsid w:val="00AD5E5B"/>
    <w:rsid w:val="00AE083B"/>
    <w:rsid w:val="00AE32E4"/>
    <w:rsid w:val="00AE660D"/>
    <w:rsid w:val="00AF23C3"/>
    <w:rsid w:val="00AF3A0B"/>
    <w:rsid w:val="00AF591A"/>
    <w:rsid w:val="00B0092F"/>
    <w:rsid w:val="00B02C60"/>
    <w:rsid w:val="00B038D8"/>
    <w:rsid w:val="00B0509F"/>
    <w:rsid w:val="00B064F2"/>
    <w:rsid w:val="00B06987"/>
    <w:rsid w:val="00B17DB3"/>
    <w:rsid w:val="00B210A9"/>
    <w:rsid w:val="00B2744D"/>
    <w:rsid w:val="00B2760A"/>
    <w:rsid w:val="00B31088"/>
    <w:rsid w:val="00B31906"/>
    <w:rsid w:val="00B33945"/>
    <w:rsid w:val="00B33BFD"/>
    <w:rsid w:val="00B353BF"/>
    <w:rsid w:val="00B36965"/>
    <w:rsid w:val="00B40335"/>
    <w:rsid w:val="00B40743"/>
    <w:rsid w:val="00B40A10"/>
    <w:rsid w:val="00B41C71"/>
    <w:rsid w:val="00B4347A"/>
    <w:rsid w:val="00B441FD"/>
    <w:rsid w:val="00B443D1"/>
    <w:rsid w:val="00B452CC"/>
    <w:rsid w:val="00B4591F"/>
    <w:rsid w:val="00B467DE"/>
    <w:rsid w:val="00B51652"/>
    <w:rsid w:val="00B517E9"/>
    <w:rsid w:val="00B53B3C"/>
    <w:rsid w:val="00B53F6F"/>
    <w:rsid w:val="00B647D8"/>
    <w:rsid w:val="00B65FE3"/>
    <w:rsid w:val="00B67CE5"/>
    <w:rsid w:val="00B7070B"/>
    <w:rsid w:val="00B707FC"/>
    <w:rsid w:val="00B72400"/>
    <w:rsid w:val="00B728D8"/>
    <w:rsid w:val="00B75131"/>
    <w:rsid w:val="00B76227"/>
    <w:rsid w:val="00B76D2A"/>
    <w:rsid w:val="00B806A5"/>
    <w:rsid w:val="00B81122"/>
    <w:rsid w:val="00B81F55"/>
    <w:rsid w:val="00B8372B"/>
    <w:rsid w:val="00B85819"/>
    <w:rsid w:val="00B93203"/>
    <w:rsid w:val="00B95A54"/>
    <w:rsid w:val="00BA06EF"/>
    <w:rsid w:val="00BA3710"/>
    <w:rsid w:val="00BA6C5B"/>
    <w:rsid w:val="00BB0093"/>
    <w:rsid w:val="00BB0D7E"/>
    <w:rsid w:val="00BB2729"/>
    <w:rsid w:val="00BB48AD"/>
    <w:rsid w:val="00BB6567"/>
    <w:rsid w:val="00BC0FA7"/>
    <w:rsid w:val="00BC1454"/>
    <w:rsid w:val="00BC39A4"/>
    <w:rsid w:val="00BC4DB2"/>
    <w:rsid w:val="00BC5C3F"/>
    <w:rsid w:val="00BD2819"/>
    <w:rsid w:val="00BD4724"/>
    <w:rsid w:val="00BE298D"/>
    <w:rsid w:val="00BE3B9D"/>
    <w:rsid w:val="00BE6018"/>
    <w:rsid w:val="00BE7BED"/>
    <w:rsid w:val="00BF003D"/>
    <w:rsid w:val="00BF0489"/>
    <w:rsid w:val="00C023F4"/>
    <w:rsid w:val="00C06CA8"/>
    <w:rsid w:val="00C06D92"/>
    <w:rsid w:val="00C06E5A"/>
    <w:rsid w:val="00C0792D"/>
    <w:rsid w:val="00C12ADE"/>
    <w:rsid w:val="00C14871"/>
    <w:rsid w:val="00C157FC"/>
    <w:rsid w:val="00C15FE5"/>
    <w:rsid w:val="00C17502"/>
    <w:rsid w:val="00C177FA"/>
    <w:rsid w:val="00C17FD7"/>
    <w:rsid w:val="00C230CB"/>
    <w:rsid w:val="00C269A0"/>
    <w:rsid w:val="00C26AD5"/>
    <w:rsid w:val="00C312DB"/>
    <w:rsid w:val="00C33AB9"/>
    <w:rsid w:val="00C36BD1"/>
    <w:rsid w:val="00C37A36"/>
    <w:rsid w:val="00C40E20"/>
    <w:rsid w:val="00C42E75"/>
    <w:rsid w:val="00C4640F"/>
    <w:rsid w:val="00C46ED5"/>
    <w:rsid w:val="00C4751A"/>
    <w:rsid w:val="00C47736"/>
    <w:rsid w:val="00C51246"/>
    <w:rsid w:val="00C529B0"/>
    <w:rsid w:val="00C53033"/>
    <w:rsid w:val="00C533ED"/>
    <w:rsid w:val="00C54495"/>
    <w:rsid w:val="00C54CD6"/>
    <w:rsid w:val="00C54D91"/>
    <w:rsid w:val="00C62B79"/>
    <w:rsid w:val="00C62EAA"/>
    <w:rsid w:val="00C63157"/>
    <w:rsid w:val="00C6315D"/>
    <w:rsid w:val="00C66597"/>
    <w:rsid w:val="00C67791"/>
    <w:rsid w:val="00C67822"/>
    <w:rsid w:val="00C71607"/>
    <w:rsid w:val="00C7484D"/>
    <w:rsid w:val="00C755D0"/>
    <w:rsid w:val="00C774DF"/>
    <w:rsid w:val="00C77D15"/>
    <w:rsid w:val="00C805CB"/>
    <w:rsid w:val="00C80AC5"/>
    <w:rsid w:val="00C8197C"/>
    <w:rsid w:val="00C81D0F"/>
    <w:rsid w:val="00C84963"/>
    <w:rsid w:val="00C84F49"/>
    <w:rsid w:val="00C861F2"/>
    <w:rsid w:val="00C90F4A"/>
    <w:rsid w:val="00C9110A"/>
    <w:rsid w:val="00C91ADE"/>
    <w:rsid w:val="00C932C1"/>
    <w:rsid w:val="00C94C98"/>
    <w:rsid w:val="00C972F9"/>
    <w:rsid w:val="00CA2796"/>
    <w:rsid w:val="00CA2CA4"/>
    <w:rsid w:val="00CA74CF"/>
    <w:rsid w:val="00CA78E7"/>
    <w:rsid w:val="00CB0D01"/>
    <w:rsid w:val="00CC00D2"/>
    <w:rsid w:val="00CC2F34"/>
    <w:rsid w:val="00CC31C7"/>
    <w:rsid w:val="00CC34E2"/>
    <w:rsid w:val="00CC4250"/>
    <w:rsid w:val="00CC482A"/>
    <w:rsid w:val="00CC5D94"/>
    <w:rsid w:val="00CC7078"/>
    <w:rsid w:val="00CC717D"/>
    <w:rsid w:val="00CC7886"/>
    <w:rsid w:val="00CD3347"/>
    <w:rsid w:val="00CD3C31"/>
    <w:rsid w:val="00CD4C87"/>
    <w:rsid w:val="00CE29AF"/>
    <w:rsid w:val="00CE3C46"/>
    <w:rsid w:val="00CE42A9"/>
    <w:rsid w:val="00CE4B7B"/>
    <w:rsid w:val="00CE5518"/>
    <w:rsid w:val="00CE64CA"/>
    <w:rsid w:val="00CE7592"/>
    <w:rsid w:val="00CF056E"/>
    <w:rsid w:val="00CF55E5"/>
    <w:rsid w:val="00CF7AD7"/>
    <w:rsid w:val="00D0591B"/>
    <w:rsid w:val="00D05DE1"/>
    <w:rsid w:val="00D07162"/>
    <w:rsid w:val="00D106B1"/>
    <w:rsid w:val="00D11DE1"/>
    <w:rsid w:val="00D11F0E"/>
    <w:rsid w:val="00D13EE2"/>
    <w:rsid w:val="00D14BA6"/>
    <w:rsid w:val="00D24E7B"/>
    <w:rsid w:val="00D25ABF"/>
    <w:rsid w:val="00D26611"/>
    <w:rsid w:val="00D31B7D"/>
    <w:rsid w:val="00D33B66"/>
    <w:rsid w:val="00D351D9"/>
    <w:rsid w:val="00D37A57"/>
    <w:rsid w:val="00D433E8"/>
    <w:rsid w:val="00D45306"/>
    <w:rsid w:val="00D4704F"/>
    <w:rsid w:val="00D51C4F"/>
    <w:rsid w:val="00D52AE4"/>
    <w:rsid w:val="00D540FC"/>
    <w:rsid w:val="00D57DE8"/>
    <w:rsid w:val="00D6028A"/>
    <w:rsid w:val="00D6217B"/>
    <w:rsid w:val="00D65909"/>
    <w:rsid w:val="00D663B3"/>
    <w:rsid w:val="00D7278E"/>
    <w:rsid w:val="00D755EB"/>
    <w:rsid w:val="00D767BB"/>
    <w:rsid w:val="00D76940"/>
    <w:rsid w:val="00D77686"/>
    <w:rsid w:val="00D77FC0"/>
    <w:rsid w:val="00D809EF"/>
    <w:rsid w:val="00D8792B"/>
    <w:rsid w:val="00D92A90"/>
    <w:rsid w:val="00D930B3"/>
    <w:rsid w:val="00D96832"/>
    <w:rsid w:val="00D96928"/>
    <w:rsid w:val="00DA2930"/>
    <w:rsid w:val="00DA4A93"/>
    <w:rsid w:val="00DA4F10"/>
    <w:rsid w:val="00DA5643"/>
    <w:rsid w:val="00DA69F8"/>
    <w:rsid w:val="00DB0147"/>
    <w:rsid w:val="00DB0827"/>
    <w:rsid w:val="00DC3290"/>
    <w:rsid w:val="00DC5D16"/>
    <w:rsid w:val="00DD0580"/>
    <w:rsid w:val="00DD263E"/>
    <w:rsid w:val="00DD45A5"/>
    <w:rsid w:val="00DD535F"/>
    <w:rsid w:val="00DD56CA"/>
    <w:rsid w:val="00DD6B16"/>
    <w:rsid w:val="00DD71C8"/>
    <w:rsid w:val="00DD7240"/>
    <w:rsid w:val="00DE0515"/>
    <w:rsid w:val="00DE11FE"/>
    <w:rsid w:val="00DE3559"/>
    <w:rsid w:val="00DE3CE3"/>
    <w:rsid w:val="00DE3EFA"/>
    <w:rsid w:val="00DE5C1C"/>
    <w:rsid w:val="00DE6233"/>
    <w:rsid w:val="00DF40B6"/>
    <w:rsid w:val="00DF460F"/>
    <w:rsid w:val="00DF7775"/>
    <w:rsid w:val="00E04AEA"/>
    <w:rsid w:val="00E05DC9"/>
    <w:rsid w:val="00E060CC"/>
    <w:rsid w:val="00E06AB9"/>
    <w:rsid w:val="00E06BD7"/>
    <w:rsid w:val="00E11DD6"/>
    <w:rsid w:val="00E12E21"/>
    <w:rsid w:val="00E146A1"/>
    <w:rsid w:val="00E14E6C"/>
    <w:rsid w:val="00E17849"/>
    <w:rsid w:val="00E23C86"/>
    <w:rsid w:val="00E24AB4"/>
    <w:rsid w:val="00E2591A"/>
    <w:rsid w:val="00E26B6E"/>
    <w:rsid w:val="00E27EEC"/>
    <w:rsid w:val="00E27FB8"/>
    <w:rsid w:val="00E30DB8"/>
    <w:rsid w:val="00E3397A"/>
    <w:rsid w:val="00E33CC2"/>
    <w:rsid w:val="00E34D87"/>
    <w:rsid w:val="00E34E36"/>
    <w:rsid w:val="00E375A9"/>
    <w:rsid w:val="00E40A76"/>
    <w:rsid w:val="00E40FA0"/>
    <w:rsid w:val="00E42138"/>
    <w:rsid w:val="00E433AA"/>
    <w:rsid w:val="00E453EA"/>
    <w:rsid w:val="00E45F09"/>
    <w:rsid w:val="00E545BE"/>
    <w:rsid w:val="00E57A54"/>
    <w:rsid w:val="00E601AF"/>
    <w:rsid w:val="00E61549"/>
    <w:rsid w:val="00E626A2"/>
    <w:rsid w:val="00E650BB"/>
    <w:rsid w:val="00E66442"/>
    <w:rsid w:val="00E678EB"/>
    <w:rsid w:val="00E70085"/>
    <w:rsid w:val="00E757F1"/>
    <w:rsid w:val="00E763FD"/>
    <w:rsid w:val="00E7641D"/>
    <w:rsid w:val="00E76FAD"/>
    <w:rsid w:val="00E82293"/>
    <w:rsid w:val="00E858DF"/>
    <w:rsid w:val="00E85B5A"/>
    <w:rsid w:val="00E864D2"/>
    <w:rsid w:val="00E870A8"/>
    <w:rsid w:val="00E9057C"/>
    <w:rsid w:val="00E943CB"/>
    <w:rsid w:val="00E961FA"/>
    <w:rsid w:val="00E970D7"/>
    <w:rsid w:val="00EA300C"/>
    <w:rsid w:val="00EA7317"/>
    <w:rsid w:val="00EB0265"/>
    <w:rsid w:val="00EB0303"/>
    <w:rsid w:val="00EB0B15"/>
    <w:rsid w:val="00EB1FE9"/>
    <w:rsid w:val="00EB47D9"/>
    <w:rsid w:val="00EB4B54"/>
    <w:rsid w:val="00EC1B67"/>
    <w:rsid w:val="00EC475B"/>
    <w:rsid w:val="00ED08A4"/>
    <w:rsid w:val="00ED1F3D"/>
    <w:rsid w:val="00ED32CA"/>
    <w:rsid w:val="00ED339E"/>
    <w:rsid w:val="00ED3A93"/>
    <w:rsid w:val="00ED3F09"/>
    <w:rsid w:val="00ED4A89"/>
    <w:rsid w:val="00ED51B1"/>
    <w:rsid w:val="00ED7A02"/>
    <w:rsid w:val="00ED7E87"/>
    <w:rsid w:val="00ED7EB3"/>
    <w:rsid w:val="00EE231E"/>
    <w:rsid w:val="00EE6925"/>
    <w:rsid w:val="00EE6A19"/>
    <w:rsid w:val="00EE7083"/>
    <w:rsid w:val="00EE7A9B"/>
    <w:rsid w:val="00EF2275"/>
    <w:rsid w:val="00EF3820"/>
    <w:rsid w:val="00EF4458"/>
    <w:rsid w:val="00EF5E2E"/>
    <w:rsid w:val="00F00B8E"/>
    <w:rsid w:val="00F00C0D"/>
    <w:rsid w:val="00F02BDD"/>
    <w:rsid w:val="00F0647A"/>
    <w:rsid w:val="00F0708A"/>
    <w:rsid w:val="00F12028"/>
    <w:rsid w:val="00F13D5E"/>
    <w:rsid w:val="00F13E65"/>
    <w:rsid w:val="00F15050"/>
    <w:rsid w:val="00F158C6"/>
    <w:rsid w:val="00F15A3D"/>
    <w:rsid w:val="00F1686C"/>
    <w:rsid w:val="00F16C91"/>
    <w:rsid w:val="00F16E46"/>
    <w:rsid w:val="00F23E31"/>
    <w:rsid w:val="00F27AC0"/>
    <w:rsid w:val="00F3274A"/>
    <w:rsid w:val="00F33267"/>
    <w:rsid w:val="00F33B70"/>
    <w:rsid w:val="00F35409"/>
    <w:rsid w:val="00F355F3"/>
    <w:rsid w:val="00F356D8"/>
    <w:rsid w:val="00F36266"/>
    <w:rsid w:val="00F36F86"/>
    <w:rsid w:val="00F4570E"/>
    <w:rsid w:val="00F47B7A"/>
    <w:rsid w:val="00F50122"/>
    <w:rsid w:val="00F5076B"/>
    <w:rsid w:val="00F530A9"/>
    <w:rsid w:val="00F54AEF"/>
    <w:rsid w:val="00F574AC"/>
    <w:rsid w:val="00F57C4A"/>
    <w:rsid w:val="00F57C51"/>
    <w:rsid w:val="00F625CF"/>
    <w:rsid w:val="00F6745E"/>
    <w:rsid w:val="00F744E1"/>
    <w:rsid w:val="00F7546E"/>
    <w:rsid w:val="00F75FCF"/>
    <w:rsid w:val="00F77B07"/>
    <w:rsid w:val="00F805A0"/>
    <w:rsid w:val="00F810E4"/>
    <w:rsid w:val="00F81151"/>
    <w:rsid w:val="00F842F3"/>
    <w:rsid w:val="00F8514B"/>
    <w:rsid w:val="00F938C4"/>
    <w:rsid w:val="00FA0FCB"/>
    <w:rsid w:val="00FA27E8"/>
    <w:rsid w:val="00FA419B"/>
    <w:rsid w:val="00FA4306"/>
    <w:rsid w:val="00FA57C9"/>
    <w:rsid w:val="00FB0B35"/>
    <w:rsid w:val="00FB2C60"/>
    <w:rsid w:val="00FB3654"/>
    <w:rsid w:val="00FB3736"/>
    <w:rsid w:val="00FB4FED"/>
    <w:rsid w:val="00FB5F79"/>
    <w:rsid w:val="00FB67DC"/>
    <w:rsid w:val="00FB705B"/>
    <w:rsid w:val="00FB7847"/>
    <w:rsid w:val="00FB7E3D"/>
    <w:rsid w:val="00FC067B"/>
    <w:rsid w:val="00FC2AD2"/>
    <w:rsid w:val="00FC406E"/>
    <w:rsid w:val="00FC5C41"/>
    <w:rsid w:val="00FD0F25"/>
    <w:rsid w:val="00FD20D2"/>
    <w:rsid w:val="00FD3779"/>
    <w:rsid w:val="00FD4E15"/>
    <w:rsid w:val="00FE5D85"/>
    <w:rsid w:val="00FF1EC1"/>
    <w:rsid w:val="00FF3AA5"/>
    <w:rsid w:val="00FF448F"/>
    <w:rsid w:val="00FF46B8"/>
    <w:rsid w:val="00FF4D06"/>
    <w:rsid w:val="00FF4ED9"/>
    <w:rsid w:val="00FF5407"/>
    <w:rsid w:val="00FF6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CFA2D"/>
  <w15:docId w15:val="{361EB87A-6A10-4670-8328-71A3E341B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240" w:lineRule="exact"/>
      <w:outlineLvl w:val="0"/>
    </w:pPr>
    <w:rPr>
      <w:b/>
    </w:rPr>
  </w:style>
  <w:style w:type="paragraph" w:styleId="Heading2">
    <w:name w:val="heading 2"/>
    <w:basedOn w:val="Normal"/>
    <w:next w:val="Normal"/>
    <w:qFormat/>
    <w:pPr>
      <w:keepNext/>
      <w:tabs>
        <w:tab w:val="left" w:pos="720"/>
        <w:tab w:val="left" w:pos="1440"/>
        <w:tab w:val="right" w:pos="8640"/>
      </w:tabs>
      <w:spacing w:line="240" w:lineRule="exact"/>
      <w:ind w:left="1440" w:hanging="720"/>
      <w:outlineLvl w:val="1"/>
    </w:pPr>
  </w:style>
  <w:style w:type="paragraph" w:styleId="Heading3">
    <w:name w:val="heading 3"/>
    <w:basedOn w:val="Normal"/>
    <w:next w:val="Normal"/>
    <w:qFormat/>
    <w:pPr>
      <w:keepNext/>
      <w:spacing w:line="240" w:lineRule="exact"/>
      <w:ind w:left="720"/>
      <w:jc w:val="center"/>
      <w:outlineLvl w:val="2"/>
    </w:pPr>
    <w:rPr>
      <w:b/>
    </w:rPr>
  </w:style>
  <w:style w:type="paragraph" w:styleId="Heading4">
    <w:name w:val="heading 4"/>
    <w:basedOn w:val="Normal"/>
    <w:next w:val="Normal"/>
    <w:qFormat/>
    <w:pPr>
      <w:keepNext/>
      <w:pBdr>
        <w:bottom w:val="double" w:sz="6" w:space="0" w:color="000000"/>
      </w:pBdr>
      <w:spacing w:line="240" w:lineRule="exact"/>
      <w:jc w:val="both"/>
      <w:outlineLvl w:val="3"/>
    </w:pPr>
    <w:rPr>
      <w:b/>
    </w:rPr>
  </w:style>
  <w:style w:type="paragraph" w:styleId="Heading6">
    <w:name w:val="heading 6"/>
    <w:basedOn w:val="Normal"/>
    <w:next w:val="Normal"/>
    <w:link w:val="Heading6Char"/>
    <w:semiHidden/>
    <w:unhideWhenUsed/>
    <w:qFormat/>
    <w:rsid w:val="002934C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answerparagraph">
    <w:name w:val="main answer paragraph"/>
    <w:pPr>
      <w:tabs>
        <w:tab w:val="left" w:pos="720"/>
      </w:tabs>
      <w:spacing w:line="240" w:lineRule="exact"/>
      <w:ind w:left="720" w:hanging="720"/>
      <w:jc w:val="both"/>
    </w:pPr>
    <w:rPr>
      <w:rFonts w:ascii="Times" w:hAnsi="Times"/>
    </w:rPr>
  </w:style>
  <w:style w:type="paragraph" w:customStyle="1" w:styleId="subquestionpara">
    <w:name w:val="sub question para."/>
    <w:pPr>
      <w:tabs>
        <w:tab w:val="left" w:pos="1152"/>
      </w:tabs>
      <w:spacing w:line="240" w:lineRule="exact"/>
      <w:ind w:left="1152" w:hanging="432"/>
    </w:pPr>
    <w:rPr>
      <w:rFonts w:ascii="Times" w:hAnsi="Times"/>
    </w:rPr>
  </w:style>
  <w:style w:type="paragraph" w:customStyle="1" w:styleId="centeringpage">
    <w:name w:val="centering page"/>
    <w:pPr>
      <w:keepLines/>
      <w:jc w:val="center"/>
    </w:pPr>
    <w:rPr>
      <w:rFonts w:ascii="Times" w:hAnsi="Times"/>
      <w:b/>
    </w:rPr>
  </w:style>
  <w:style w:type="paragraph" w:customStyle="1" w:styleId="linebeforequestion">
    <w:name w:val="line before question"/>
    <w:pPr>
      <w:tabs>
        <w:tab w:val="left" w:pos="720"/>
        <w:tab w:val="left" w:pos="1296"/>
      </w:tabs>
      <w:spacing w:line="240" w:lineRule="exact"/>
      <w:ind w:left="1296" w:hanging="1296"/>
      <w:jc w:val="both"/>
    </w:pPr>
    <w:rPr>
      <w:rFonts w:ascii="Times" w:hAnsi="Times"/>
    </w:rPr>
  </w:style>
  <w:style w:type="paragraph" w:customStyle="1" w:styleId="tfanswers">
    <w:name w:val="t/f answers"/>
    <w:pPr>
      <w:tabs>
        <w:tab w:val="left" w:pos="1152"/>
      </w:tabs>
      <w:spacing w:line="240" w:lineRule="exact"/>
      <w:ind w:left="1152" w:hanging="1152"/>
    </w:pPr>
    <w:rPr>
      <w:rFonts w:ascii="Times" w:hAnsi="Times"/>
    </w:rPr>
  </w:style>
  <w:style w:type="paragraph" w:customStyle="1" w:styleId="subanswersspecial">
    <w:name w:val="sub answers special"/>
    <w:pPr>
      <w:tabs>
        <w:tab w:val="left" w:pos="432"/>
        <w:tab w:val="left" w:pos="1584"/>
      </w:tabs>
      <w:spacing w:line="240" w:lineRule="exact"/>
      <w:ind w:left="1584" w:hanging="432"/>
    </w:pPr>
    <w:rPr>
      <w:rFonts w:ascii="Times" w:hAnsi="Times"/>
    </w:rPr>
  </w:style>
  <w:style w:type="paragraph" w:customStyle="1" w:styleId="subanswerblockpara">
    <w:name w:val="sub answer block para."/>
    <w:pPr>
      <w:tabs>
        <w:tab w:val="left" w:pos="1296"/>
      </w:tabs>
      <w:spacing w:line="240" w:lineRule="exact"/>
      <w:ind w:left="1296"/>
      <w:jc w:val="both"/>
    </w:pPr>
    <w:rPr>
      <w:rFonts w:ascii="Times" w:hAnsi="Times"/>
    </w:rPr>
  </w:style>
  <w:style w:type="paragraph" w:customStyle="1" w:styleId="answerblockparaessay">
    <w:name w:val="answer block para essay"/>
    <w:pPr>
      <w:tabs>
        <w:tab w:val="left" w:pos="720"/>
      </w:tabs>
      <w:spacing w:line="240" w:lineRule="exact"/>
      <w:ind w:left="720"/>
      <w:jc w:val="both"/>
    </w:pPr>
    <w:rPr>
      <w:rFonts w:ascii="Times" w:hAnsi="Times"/>
    </w:rPr>
  </w:style>
  <w:style w:type="paragraph" w:customStyle="1" w:styleId="sub-subanswer">
    <w:name w:val="sub-sub answer"/>
    <w:pPr>
      <w:tabs>
        <w:tab w:val="left" w:pos="720"/>
        <w:tab w:val="left" w:pos="2016"/>
      </w:tabs>
      <w:spacing w:line="240" w:lineRule="exact"/>
      <w:ind w:left="2016" w:hanging="720"/>
    </w:pPr>
    <w:rPr>
      <w:rFonts w:ascii="Times" w:hAnsi="Times"/>
    </w:rPr>
  </w:style>
  <w:style w:type="paragraph" w:customStyle="1" w:styleId="sub-sub-subanswer">
    <w:name w:val="sub-sub-sub answer"/>
    <w:pPr>
      <w:tabs>
        <w:tab w:val="left" w:pos="2736"/>
      </w:tabs>
      <w:spacing w:line="240" w:lineRule="exact"/>
      <w:ind w:left="2736" w:hanging="720"/>
    </w:pPr>
    <w:rPr>
      <w:rFonts w:ascii="Times" w:hAnsi="Times"/>
    </w:rPr>
  </w:style>
  <w:style w:type="paragraph" w:customStyle="1" w:styleId="MultiCh">
    <w:name w:val="Multi Ch"/>
    <w:aliases w:val="I - III"/>
    <w:pPr>
      <w:tabs>
        <w:tab w:val="left" w:pos="1584"/>
      </w:tabs>
      <w:spacing w:line="240" w:lineRule="exact"/>
      <w:ind w:left="1584" w:hanging="1440"/>
    </w:pPr>
    <w:rPr>
      <w:rFonts w:ascii="Times" w:hAnsi="Times"/>
    </w:rPr>
  </w:style>
  <w:style w:type="paragraph" w:customStyle="1" w:styleId="rightjustified">
    <w:name w:val="right justified"/>
    <w:pPr>
      <w:jc w:val="right"/>
    </w:pPr>
    <w:rPr>
      <w:rFonts w:ascii="Times" w:hAnsi="Times"/>
    </w:rPr>
  </w:style>
  <w:style w:type="paragraph" w:customStyle="1" w:styleId="BP">
    <w:name w:val="BP"/>
    <w:pPr>
      <w:tabs>
        <w:tab w:val="left" w:pos="1440"/>
      </w:tabs>
      <w:spacing w:line="240" w:lineRule="exact"/>
      <w:ind w:left="1440"/>
    </w:pPr>
    <w:rPr>
      <w:rFonts w:ascii="Times" w:hAnsi="Times"/>
    </w:rPr>
  </w:style>
  <w:style w:type="paragraph" w:customStyle="1" w:styleId="dashdashansmc">
    <w:name w:val="dash dash ans. m.c."/>
    <w:pPr>
      <w:tabs>
        <w:tab w:val="left" w:pos="432"/>
        <w:tab w:val="left" w:pos="1728"/>
      </w:tabs>
      <w:spacing w:line="240" w:lineRule="exact"/>
      <w:ind w:left="1728" w:hanging="432"/>
    </w:pPr>
    <w:rPr>
      <w:rFonts w:ascii="Times" w:hAnsi="Times"/>
    </w:rPr>
  </w:style>
  <w:style w:type="paragraph" w:customStyle="1" w:styleId="flushleftpara-noindents">
    <w:name w:val="flush left para-no indents"/>
    <w:rPr>
      <w:rFonts w:ascii="Times" w:hAnsi="Times"/>
    </w:rPr>
  </w:style>
  <w:style w:type="paragraph" w:customStyle="1" w:styleId="Subpartsanswer">
    <w:name w:val="Sub parts answer"/>
    <w:pPr>
      <w:tabs>
        <w:tab w:val="left" w:pos="576"/>
        <w:tab w:val="left" w:pos="1296"/>
      </w:tabs>
      <w:spacing w:line="240" w:lineRule="exact"/>
      <w:ind w:left="1296" w:hanging="576"/>
      <w:jc w:val="both"/>
    </w:pPr>
    <w:rPr>
      <w:rFonts w:ascii="Times" w:hAnsi="Times"/>
    </w:rPr>
  </w:style>
  <w:style w:type="paragraph" w:customStyle="1" w:styleId="b1answer">
    <w:name w:val="(b) (1) answer"/>
    <w:pPr>
      <w:tabs>
        <w:tab w:val="left" w:pos="1296"/>
        <w:tab w:val="left" w:pos="2016"/>
      </w:tabs>
      <w:spacing w:line="240" w:lineRule="exact"/>
      <w:ind w:left="2016" w:hanging="1296"/>
    </w:pPr>
    <w:rPr>
      <w:rFonts w:ascii="Times" w:hAnsi="Times"/>
    </w:rPr>
  </w:style>
  <w:style w:type="paragraph" w:customStyle="1" w:styleId="subdash">
    <w:name w:val="sub dash"/>
    <w:pPr>
      <w:tabs>
        <w:tab w:val="left" w:pos="432"/>
        <w:tab w:val="left" w:pos="1152"/>
      </w:tabs>
      <w:spacing w:line="240" w:lineRule="exact"/>
      <w:ind w:left="1152" w:hanging="432"/>
    </w:pPr>
    <w:rPr>
      <w:rFonts w:ascii="Times" w:hAnsi="Times"/>
    </w:rPr>
  </w:style>
  <w:style w:type="paragraph" w:customStyle="1" w:styleId="tableparagraph">
    <w:name w:val="table paragraph"/>
    <w:pPr>
      <w:tabs>
        <w:tab w:val="left" w:pos="1152"/>
      </w:tabs>
      <w:spacing w:line="240" w:lineRule="exact"/>
      <w:ind w:left="1152"/>
    </w:pPr>
    <w:rPr>
      <w:rFonts w:ascii="Times" w:hAnsi="Times"/>
    </w:rPr>
  </w:style>
  <w:style w:type="paragraph" w:customStyle="1" w:styleId="multiplechoiceanswer">
    <w:name w:val="multiple choice answer"/>
    <w:pPr>
      <w:tabs>
        <w:tab w:val="left" w:pos="1440"/>
      </w:tabs>
      <w:spacing w:line="240" w:lineRule="exact"/>
      <w:ind w:left="1440" w:hanging="1440"/>
    </w:pPr>
    <w:rPr>
      <w:rFonts w:ascii="Times" w:hAnsi="Times"/>
    </w:rPr>
  </w:style>
  <w:style w:type="paragraph" w:customStyle="1" w:styleId="submultiplechoiceanswer">
    <w:name w:val="sub multiple choice answer"/>
    <w:pPr>
      <w:tabs>
        <w:tab w:val="left" w:pos="1440"/>
      </w:tabs>
      <w:spacing w:line="240" w:lineRule="exact"/>
      <w:ind w:left="1440" w:hanging="720"/>
    </w:pPr>
    <w:rPr>
      <w:rFonts w:ascii="Times" w:hAnsi="Times"/>
    </w:rPr>
  </w:style>
  <w:style w:type="paragraph" w:customStyle="1" w:styleId="dashparagraph">
    <w:name w:val="dash paragraph"/>
    <w:pPr>
      <w:tabs>
        <w:tab w:val="left" w:pos="1440"/>
      </w:tabs>
      <w:spacing w:line="240" w:lineRule="exact"/>
      <w:ind w:left="1008" w:hanging="245"/>
      <w:jc w:val="both"/>
    </w:pPr>
    <w:rPr>
      <w:rFonts w:ascii="Times" w:hAnsi="Times"/>
    </w:rPr>
  </w:style>
  <w:style w:type="paragraph" w:customStyle="1" w:styleId="SD">
    <w:name w:val="SD"/>
    <w:pPr>
      <w:tabs>
        <w:tab w:val="left" w:pos="1440"/>
      </w:tabs>
      <w:ind w:left="1512" w:hanging="216"/>
      <w:jc w:val="both"/>
    </w:pPr>
    <w:rPr>
      <w:rFonts w:ascii="Times" w:hAnsi="Times"/>
    </w:rPr>
  </w:style>
  <w:style w:type="paragraph" w:customStyle="1" w:styleId="singlebullet">
    <w:name w:val="single bullet"/>
    <w:pPr>
      <w:tabs>
        <w:tab w:val="left" w:pos="720"/>
      </w:tabs>
      <w:spacing w:line="240" w:lineRule="exact"/>
      <w:ind w:left="720" w:hanging="720"/>
      <w:jc w:val="both"/>
    </w:pPr>
    <w:rPr>
      <w:rFonts w:ascii="Times" w:hAnsi="Times"/>
    </w:rPr>
  </w:style>
  <w:style w:type="paragraph" w:customStyle="1" w:styleId="indentedbullet">
    <w:name w:val="indented bullet"/>
    <w:pPr>
      <w:tabs>
        <w:tab w:val="left" w:pos="576"/>
        <w:tab w:val="left" w:pos="1296"/>
      </w:tabs>
      <w:spacing w:line="240" w:lineRule="exact"/>
      <w:ind w:left="1296" w:hanging="576"/>
      <w:jc w:val="both"/>
    </w:pPr>
    <w:rPr>
      <w:rFonts w:ascii="Times" w:hAnsi="Times"/>
    </w:rPr>
  </w:style>
  <w:style w:type="paragraph" w:customStyle="1" w:styleId="3dlevelbullet2dindent">
    <w:name w:val="3d level bullet (2d indent)"/>
    <w:pPr>
      <w:tabs>
        <w:tab w:val="left" w:pos="1872"/>
      </w:tabs>
      <w:spacing w:line="240" w:lineRule="exact"/>
      <w:ind w:left="1872" w:hanging="576"/>
      <w:jc w:val="both"/>
    </w:pPr>
    <w:rPr>
      <w:rFonts w:ascii="Times" w:hAnsi="Times"/>
    </w:rPr>
  </w:style>
  <w:style w:type="paragraph" w:customStyle="1" w:styleId="outline4thlevel">
    <w:name w:val="outline/4th level"/>
    <w:pPr>
      <w:tabs>
        <w:tab w:val="left" w:pos="3456"/>
      </w:tabs>
      <w:spacing w:line="240" w:lineRule="exact"/>
      <w:ind w:left="3456" w:hanging="720"/>
      <w:jc w:val="both"/>
    </w:pPr>
    <w:rPr>
      <w:rFonts w:ascii="Times" w:hAnsi="Times"/>
    </w:rPr>
  </w:style>
  <w:style w:type="paragraph" w:customStyle="1" w:styleId="outline3dlevel">
    <w:name w:val="outline/3d level"/>
    <w:pPr>
      <w:tabs>
        <w:tab w:val="left" w:pos="2736"/>
      </w:tabs>
      <w:spacing w:line="240" w:lineRule="exact"/>
      <w:ind w:left="2736" w:hanging="720"/>
      <w:jc w:val="both"/>
    </w:pPr>
    <w:rPr>
      <w:rFonts w:ascii="Times" w:hAnsi="Times"/>
    </w:r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240" w:lineRule="exact"/>
      <w:jc w:val="both"/>
    </w:pPr>
  </w:style>
  <w:style w:type="character" w:styleId="Hyperlink">
    <w:name w:val="Hyperlink"/>
    <w:rPr>
      <w:color w:val="800000"/>
      <w:u w:val="single"/>
    </w:rPr>
  </w:style>
  <w:style w:type="paragraph" w:styleId="BodyTextIndent">
    <w:name w:val="Body Text Indent"/>
    <w:basedOn w:val="Normal"/>
    <w:pPr>
      <w:ind w:left="1440" w:hanging="1440"/>
      <w:jc w:val="both"/>
    </w:pPr>
  </w:style>
  <w:style w:type="paragraph" w:styleId="BodyText2">
    <w:name w:val="Body Text 2"/>
    <w:basedOn w:val="Normal"/>
    <w:pPr>
      <w:pBdr>
        <w:bottom w:val="double" w:sz="6" w:space="0" w:color="000000"/>
      </w:pBdr>
      <w:spacing w:line="240" w:lineRule="exact"/>
      <w:jc w:val="both"/>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styleId="FollowedHyperlink">
    <w:name w:val="FollowedHyperlink"/>
    <w:rsid w:val="003B30F2"/>
    <w:rPr>
      <w:color w:val="800080"/>
      <w:u w:val="single"/>
    </w:rPr>
  </w:style>
  <w:style w:type="character" w:customStyle="1" w:styleId="FooterChar">
    <w:name w:val="Footer Char"/>
    <w:link w:val="Footer"/>
    <w:semiHidden/>
    <w:locked/>
    <w:rsid w:val="00684849"/>
    <w:rPr>
      <w:sz w:val="24"/>
      <w:szCs w:val="24"/>
      <w:lang w:val="en-US" w:eastAsia="en-US" w:bidi="ar-SA"/>
    </w:rPr>
  </w:style>
  <w:style w:type="paragraph" w:styleId="ListParagraph">
    <w:name w:val="List Paragraph"/>
    <w:basedOn w:val="Normal"/>
    <w:uiPriority w:val="34"/>
    <w:qFormat/>
    <w:rsid w:val="00225EA5"/>
    <w:pPr>
      <w:ind w:left="720"/>
    </w:pPr>
  </w:style>
  <w:style w:type="table" w:styleId="TableGrid">
    <w:name w:val="Table Grid"/>
    <w:basedOn w:val="TableNormal"/>
    <w:rsid w:val="007C3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A6FB5"/>
    <w:rPr>
      <w:sz w:val="16"/>
      <w:szCs w:val="16"/>
    </w:rPr>
  </w:style>
  <w:style w:type="paragraph" w:styleId="CommentText">
    <w:name w:val="annotation text"/>
    <w:basedOn w:val="Normal"/>
    <w:link w:val="CommentTextChar"/>
    <w:rsid w:val="007A6FB5"/>
    <w:rPr>
      <w:sz w:val="20"/>
      <w:szCs w:val="20"/>
    </w:rPr>
  </w:style>
  <w:style w:type="character" w:customStyle="1" w:styleId="CommentTextChar">
    <w:name w:val="Comment Text Char"/>
    <w:basedOn w:val="DefaultParagraphFont"/>
    <w:link w:val="CommentText"/>
    <w:rsid w:val="007A6FB5"/>
  </w:style>
  <w:style w:type="paragraph" w:styleId="CommentSubject">
    <w:name w:val="annotation subject"/>
    <w:basedOn w:val="CommentText"/>
    <w:next w:val="CommentText"/>
    <w:link w:val="CommentSubjectChar"/>
    <w:rsid w:val="007A6FB5"/>
    <w:rPr>
      <w:b/>
      <w:bCs/>
      <w:lang w:val="x-none" w:eastAsia="x-none"/>
    </w:rPr>
  </w:style>
  <w:style w:type="character" w:customStyle="1" w:styleId="CommentSubjectChar">
    <w:name w:val="Comment Subject Char"/>
    <w:link w:val="CommentSubject"/>
    <w:rsid w:val="007A6FB5"/>
    <w:rPr>
      <w:b/>
      <w:bCs/>
    </w:rPr>
  </w:style>
  <w:style w:type="character" w:customStyle="1" w:styleId="HeaderChar">
    <w:name w:val="Header Char"/>
    <w:basedOn w:val="DefaultParagraphFont"/>
    <w:link w:val="Header"/>
    <w:rsid w:val="00E05DC9"/>
    <w:rPr>
      <w:sz w:val="24"/>
      <w:szCs w:val="24"/>
    </w:rPr>
  </w:style>
  <w:style w:type="paragraph" w:styleId="Revision">
    <w:name w:val="Revision"/>
    <w:hidden/>
    <w:uiPriority w:val="99"/>
    <w:semiHidden/>
    <w:rsid w:val="003A3067"/>
    <w:rPr>
      <w:sz w:val="24"/>
      <w:szCs w:val="24"/>
    </w:rPr>
  </w:style>
  <w:style w:type="paragraph" w:styleId="NormalWeb">
    <w:name w:val="Normal (Web)"/>
    <w:basedOn w:val="Normal"/>
    <w:uiPriority w:val="99"/>
    <w:semiHidden/>
    <w:unhideWhenUsed/>
    <w:rsid w:val="006A36B3"/>
    <w:pPr>
      <w:spacing w:before="100" w:beforeAutospacing="1" w:after="100" w:afterAutospacing="1"/>
    </w:pPr>
  </w:style>
  <w:style w:type="character" w:customStyle="1" w:styleId="Heading6Char">
    <w:name w:val="Heading 6 Char"/>
    <w:basedOn w:val="DefaultParagraphFont"/>
    <w:link w:val="Heading6"/>
    <w:semiHidden/>
    <w:rsid w:val="002934C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560932">
      <w:bodyDiv w:val="1"/>
      <w:marLeft w:val="0"/>
      <w:marRight w:val="0"/>
      <w:marTop w:val="0"/>
      <w:marBottom w:val="0"/>
      <w:divBdr>
        <w:top w:val="none" w:sz="0" w:space="0" w:color="auto"/>
        <w:left w:val="none" w:sz="0" w:space="0" w:color="auto"/>
        <w:bottom w:val="none" w:sz="0" w:space="0" w:color="auto"/>
        <w:right w:val="none" w:sz="0" w:space="0" w:color="auto"/>
      </w:divBdr>
    </w:div>
    <w:div w:id="822695943">
      <w:bodyDiv w:val="1"/>
      <w:marLeft w:val="0"/>
      <w:marRight w:val="0"/>
      <w:marTop w:val="0"/>
      <w:marBottom w:val="0"/>
      <w:divBdr>
        <w:top w:val="none" w:sz="0" w:space="0" w:color="auto"/>
        <w:left w:val="none" w:sz="0" w:space="0" w:color="auto"/>
        <w:bottom w:val="none" w:sz="0" w:space="0" w:color="auto"/>
        <w:right w:val="none" w:sz="0" w:space="0" w:color="auto"/>
      </w:divBdr>
    </w:div>
    <w:div w:id="150014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43A40-F841-44B8-AC47-AC4672320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5161</Words>
  <Characters>29422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CHAPTER 2</vt:lpstr>
    </vt:vector>
  </TitlesOfParts>
  <Company>Hewlett-Packard</Company>
  <LinksUpToDate>false</LinksUpToDate>
  <CharactersWithSpaces>34514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Instructor's Guide</dc:subject>
  <dc:creator>Dody Aldrin</dc:creator>
  <cp:lastModifiedBy>Peggy Shelton</cp:lastModifiedBy>
  <cp:revision>8</cp:revision>
  <cp:lastPrinted>2015-09-16T16:39:00Z</cp:lastPrinted>
  <dcterms:created xsi:type="dcterms:W3CDTF">2020-03-25T12:33:00Z</dcterms:created>
  <dcterms:modified xsi:type="dcterms:W3CDTF">2020-04-09T18:03:00Z</dcterms:modified>
</cp:coreProperties>
</file>