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9.1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ESSAY. Write your answer in the space provided or on a separate sheet of paper.</w:t>
        <w:br/>
      </w:r>
      <w:r>
        <w:rPr>
          <w:rFonts w:ascii="Times New Roman"/>
          <w:b/>
          <w:sz w:val="24"/>
        </w:rPr>
        <w:t>1)</w:t>
        <w:tab/>
      </w:r>
      <w:r>
        <w:rPr>
          <w:rFonts w:ascii="Times New Roman"/>
          <w:b w:val="false"/>
          <w:i w:val="false"/>
          <w:color w:val="000000"/>
          <w:sz w:val="24"/>
        </w:rPr>
        <w:t>The management of Michaeli Corporation would like to investigate the possibility of basing its predetermined overhead rate on activity at capacity rather than on the estimated amount of activity for the year. The company's controller has provided an example to illustrate how this new system would work.</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sz w:val="24"/>
        </w:rPr>
      </w:r>
    </w:p>
    <w:tbl>
      <w:tblPr>
        <w:tblLayout w:type="autofit"/>
      </w:tblPr>
      <w:tr>
        <w:trPr/>
        <w:tc>
          <w:tcPr>
            <w:tcW w:w="89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for the upcoming year</w:t>
            </w:r>
          </w:p>
        </w:tc>
        <w:tc>
          <w:tcPr>
            <w:tcW w:w="50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43,000 machine-hours</w:t>
            </w:r>
          </w:p>
        </w:tc>
      </w:tr>
      <w:tr>
        <w:trPr/>
        <w:tc>
          <w:tcPr>
            <w:tcW w:w="89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Capacity</w:t>
            </w:r>
          </w:p>
        </w:tc>
        <w:tc>
          <w:tcPr>
            <w:tcW w:w="50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50,000 machine-hours</w:t>
            </w:r>
          </w:p>
        </w:tc>
      </w:tr>
      <w:tr>
        <w:trPr/>
        <w:tc>
          <w:tcPr>
            <w:tcW w:w="89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for the year</w:t>
            </w:r>
          </w:p>
        </w:tc>
        <w:tc>
          <w:tcPr>
            <w:tcW w:w="505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45,400 machine-hours</w:t>
            </w:r>
          </w:p>
        </w:tc>
      </w:tr>
      <w:tr>
        <w:trPr/>
        <w:tc>
          <w:tcPr>
            <w:tcW w:w="894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(all fixed)</w:t>
            </w:r>
          </w:p>
        </w:tc>
        <w:tc>
          <w:tcPr>
            <w:tcW w:w="5058" w:type="dxa"/>
            <w:tcBorders/>
            <w:tcMar>
              <w:top w:w="15" w:type="dxa"/>
              <w:left w:w="15" w:type="dxa"/>
              <w:bottom w:w="15" w:type="dxa"/>
              <w:right w:w="870" w:type="dxa"/>
            </w:tcMar>
            <w:vAlign w:val="top"/>
          </w:tcPr>
          <w:p>
            <w:pPr>
              <w:spacing w:after="0"/>
              <w:ind w:left="0"/>
              <w:jc w:val="right"/>
            </w:pPr>
            <w:r>
              <w:rPr>
                <w:rFonts w:ascii="Courier New" w:hAnsi="Courier New"/>
                <w:b w:val="false"/>
                <w:i w:val="false"/>
                <w:color w:val="000000"/>
                <w:sz w:val="22"/>
              </w:rPr>
              <w:t>$989,000 per year</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Determine the cost of unused capacity for the year if the predetermined overhead rate is based on activity at capacity.</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b w:val="false"/>
          <w:i w:val="false"/>
          <w:color w:val="000000"/>
          <w:sz w:val="24"/>
        </w:rPr>
        <w:t>The management of Michaeli Corporation would like to investigate the possibility of basing its predetermined overhead rate on activity at capacity rather than on the estimated amount of activity for the year. The company's controller has provided an example to illustrate how this new system would work.</w:t>
      </w:r>
      <w:r>
        <w:rPr>
          <w:rFonts w:ascii="Times New Roman"/>
          <w:sz w:val="24"/>
        </w:rPr>
        <w:br/>
      </w:r>
      <w:r>
        <w:rPr>
          <w:rFonts w:ascii="Times New Roman"/>
          <w:sz w:val="24"/>
        </w:rPr>
      </w:r>
    </w:p>
    <w:tbl>
      <w:tblPr>
        <w:tblLayout w:type="autofit"/>
      </w:tblPr>
      <w:tr>
        <w:trPr/>
        <w:tc>
          <w:tcPr>
            <w:tcW w:w="91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for the upcoming year</w:t>
            </w:r>
          </w:p>
        </w:tc>
        <w:tc>
          <w:tcPr>
            <w:tcW w:w="50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51,000 machine-hours</w:t>
            </w:r>
          </w:p>
        </w:tc>
      </w:tr>
      <w:tr>
        <w:trPr/>
        <w:tc>
          <w:tcPr>
            <w:tcW w:w="91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Capacity</w:t>
            </w:r>
          </w:p>
        </w:tc>
        <w:tc>
          <w:tcPr>
            <w:tcW w:w="50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62,000 machine-hours</w:t>
            </w:r>
          </w:p>
        </w:tc>
      </w:tr>
      <w:tr>
        <w:trPr/>
        <w:tc>
          <w:tcPr>
            <w:tcW w:w="91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activity for the year</w:t>
            </w:r>
          </w:p>
        </w:tc>
        <w:tc>
          <w:tcPr>
            <w:tcW w:w="507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53,000 machine-hours</w:t>
            </w:r>
          </w:p>
        </w:tc>
      </w:tr>
      <w:tr>
        <w:trPr/>
        <w:tc>
          <w:tcPr>
            <w:tcW w:w="912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(all fixed)</w:t>
            </w:r>
          </w:p>
        </w:tc>
        <w:tc>
          <w:tcPr>
            <w:tcW w:w="5072" w:type="dxa"/>
            <w:tcBorders/>
            <w:tcMar>
              <w:top w:w="15" w:type="dxa"/>
              <w:left w:w="15" w:type="dxa"/>
              <w:bottom w:w="15" w:type="dxa"/>
              <w:right w:w="870" w:type="dxa"/>
            </w:tcMar>
            <w:vAlign w:val="top"/>
          </w:tcPr>
          <w:p>
            <w:pPr>
              <w:spacing w:after="0"/>
              <w:ind w:left="0"/>
              <w:jc w:val="right"/>
            </w:pPr>
            <w:r>
              <w:rPr>
                <w:rFonts w:ascii="Courier New" w:hAnsi="Courier New"/>
                <w:b w:val="false"/>
                <w:i w:val="false"/>
                <w:color w:val="000000"/>
                <w:sz w:val="22"/>
              </w:rPr>
              <w:t>$1,395,000 per year</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Determine the cost of unused capacity for the year if the predetermined overhead rate is based on activity at capacity.</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b w:val="false"/>
          <w:i w:val="false"/>
          <w:color w:val="000000"/>
          <w:sz w:val="24"/>
        </w:rPr>
        <w:t>Marder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r>
        <w:rPr>
          <w:rFonts w:ascii="Times New Roman"/>
          <w:sz w:val="24"/>
        </w:rPr>
        <w:br/>
      </w:r>
      <w:r>
        <w:rPr>
          <w:rFonts w:ascii="Times New Roman"/>
          <w:sz w:val="24"/>
        </w:rPr>
      </w:r>
    </w:p>
    <w:tbl>
      <w:tblPr>
        <w:tblLayout w:type="autofit"/>
      </w:tblPr>
      <w:tr>
        <w:trPr/>
        <w:tc>
          <w:tcPr>
            <w:tcW w:w="107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2452" w:type="dxa"/>
            <w:tcBorders/>
            <w:tcMar>
              <w:top w:w="15" w:type="dxa"/>
              <w:left w:w="15" w:type="dxa"/>
              <w:bottom w:w="15" w:type="dxa"/>
              <w:right w:w="15" w:type="dxa"/>
            </w:tcMar>
            <w:vAlign w:val="top"/>
          </w:tcPr>
          <w:p/>
        </w:tc>
      </w:tr>
      <w:tr>
        <w:trPr/>
        <w:tc>
          <w:tcPr>
            <w:tcW w:w="107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$24,500</w:t>
            </w:r>
          </w:p>
        </w:tc>
      </w:tr>
      <w:tr>
        <w:trPr/>
        <w:tc>
          <w:tcPr>
            <w:tcW w:w="107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jointer</w:t>
            </w:r>
          </w:p>
        </w:tc>
        <w:tc>
          <w:tcPr>
            <w:tcW w:w="245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 hours</w:t>
            </w:r>
          </w:p>
        </w:tc>
      </w:tr>
      <w:tr>
        <w:trPr/>
        <w:tc>
          <w:tcPr>
            <w:tcW w:w="107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2452" w:type="dxa"/>
            <w:tcBorders/>
            <w:tcMar>
              <w:top w:w="15" w:type="dxa"/>
              <w:left w:w="15" w:type="dxa"/>
              <w:bottom w:w="15" w:type="dxa"/>
              <w:right w:w="15" w:type="dxa"/>
            </w:tcMar>
            <w:vAlign w:val="top"/>
          </w:tcPr>
          <w:p/>
        </w:tc>
      </w:tr>
      <w:tr>
        <w:trPr/>
        <w:tc>
          <w:tcPr>
            <w:tcW w:w="107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$71,706</w:t>
            </w:r>
          </w:p>
        </w:tc>
      </w:tr>
      <w:tr>
        <w:trPr/>
        <w:tc>
          <w:tcPr>
            <w:tcW w:w="107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$12,500</w:t>
            </w:r>
          </w:p>
        </w:tc>
      </w:tr>
      <w:tr>
        <w:trPr/>
        <w:tc>
          <w:tcPr>
            <w:tcW w:w="107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$17,900</w:t>
            </w:r>
          </w:p>
        </w:tc>
      </w:tr>
      <w:tr>
        <w:trPr/>
        <w:tc>
          <w:tcPr>
            <w:tcW w:w="107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$24,500</w:t>
            </w:r>
          </w:p>
        </w:tc>
      </w:tr>
      <w:tr>
        <w:trPr/>
        <w:tc>
          <w:tcPr>
            <w:tcW w:w="107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$ 9,700</w:t>
            </w:r>
          </w:p>
        </w:tc>
      </w:tr>
      <w:tr>
        <w:trPr/>
        <w:tc>
          <w:tcPr>
            <w:tcW w:w="107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jointer use</w:t>
            </w:r>
          </w:p>
        </w:tc>
        <w:tc>
          <w:tcPr>
            <w:tcW w:w="245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a. Calculate the predetermined overhead rate based on capacity.</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b. Calculate the manufacturing overhead applied.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 Determine the Gross Margin for the month.</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d. Calculate the cost of unused capacity.</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b w:val="false"/>
          <w:i w:val="false"/>
          <w:color w:val="000000"/>
          <w:sz w:val="24"/>
        </w:rPr>
        <w:t>Knipple Woodworking Corporation produces fine cabinets. The company uses a job-order costing system in which its predetermined overhead rate is based on capacity. The capacity of the factory is determined by the capacity of its constraint, which is an automated bandsaw. Additional information is provided below for the most recent month:</w:t>
      </w:r>
      <w:r>
        <w:rPr>
          <w:rFonts w:ascii="Times New Roman"/>
          <w:sz w:val="24"/>
        </w:rPr>
        <w:br/>
      </w:r>
      <w:r>
        <w:rPr>
          <w:rFonts w:ascii="Times New Roman"/>
          <w:sz w:val="24"/>
        </w:rPr>
      </w:r>
    </w:p>
    <w:tbl>
      <w:tblPr>
        <w:tblLayout w:type="autofit"/>
      </w:tblPr>
      <w:tr>
        <w:trPr/>
        <w:tc>
          <w:tcPr>
            <w:tcW w:w="109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2452" w:type="dxa"/>
            <w:tcBorders/>
            <w:tcMar>
              <w:top w:w="15" w:type="dxa"/>
              <w:left w:w="15" w:type="dxa"/>
              <w:bottom w:w="15" w:type="dxa"/>
              <w:right w:w="15" w:type="dxa"/>
            </w:tcMar>
            <w:vAlign w:val="top"/>
          </w:tcPr>
          <w:p/>
        </w:tc>
      </w:tr>
      <w:tr>
        <w:trPr/>
        <w:tc>
          <w:tcPr>
            <w:tcW w:w="109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$24,288</w:t>
            </w:r>
          </w:p>
        </w:tc>
      </w:tr>
      <w:tr>
        <w:trPr/>
        <w:tc>
          <w:tcPr>
            <w:tcW w:w="109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bandsaw</w:t>
            </w:r>
          </w:p>
        </w:tc>
        <w:tc>
          <w:tcPr>
            <w:tcW w:w="245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240 hours</w:t>
            </w:r>
          </w:p>
        </w:tc>
      </w:tr>
      <w:tr>
        <w:trPr/>
        <w:tc>
          <w:tcPr>
            <w:tcW w:w="1094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2452" w:type="dxa"/>
            <w:tcBorders/>
            <w:tcMar>
              <w:top w:w="15" w:type="dxa"/>
              <w:left w:w="15" w:type="dxa"/>
              <w:bottom w:w="15" w:type="dxa"/>
              <w:right w:w="15" w:type="dxa"/>
            </w:tcMar>
            <w:vAlign w:val="top"/>
          </w:tcPr>
          <w:p/>
        </w:tc>
      </w:tr>
      <w:tr>
        <w:trPr/>
        <w:tc>
          <w:tcPr>
            <w:tcW w:w="109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Sales</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$71,473</w:t>
            </w:r>
          </w:p>
        </w:tc>
      </w:tr>
      <w:tr>
        <w:trPr/>
        <w:tc>
          <w:tcPr>
            <w:tcW w:w="109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$10,400</w:t>
            </w:r>
          </w:p>
        </w:tc>
      </w:tr>
      <w:tr>
        <w:trPr/>
        <w:tc>
          <w:tcPr>
            <w:tcW w:w="109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$17,300</w:t>
            </w:r>
          </w:p>
        </w:tc>
      </w:tr>
      <w:tr>
        <w:trPr/>
        <w:tc>
          <w:tcPr>
            <w:tcW w:w="109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$24,288</w:t>
            </w:r>
          </w:p>
        </w:tc>
      </w:tr>
      <w:tr>
        <w:trPr/>
        <w:tc>
          <w:tcPr>
            <w:tcW w:w="109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2452" w:type="dxa"/>
            <w:tcBorders/>
            <w:tcMar>
              <w:top w:w="15" w:type="dxa"/>
              <w:left w:w="15" w:type="dxa"/>
              <w:bottom w:w="15" w:type="dxa"/>
              <w:right w:w="1020" w:type="dxa"/>
            </w:tcMar>
            <w:vAlign w:val="top"/>
          </w:tcPr>
          <w:p>
            <w:pPr>
              <w:spacing w:after="0"/>
              <w:ind w:left="0"/>
              <w:jc w:val="right"/>
            </w:pPr>
            <w:r>
              <w:rPr>
                <w:rFonts w:ascii="Courier New" w:hAnsi="Courier New"/>
                <w:b w:val="false"/>
                <w:i w:val="false"/>
                <w:color w:val="000000"/>
                <w:sz w:val="22"/>
              </w:rPr>
              <w:t>$ 9,100</w:t>
            </w:r>
          </w:p>
        </w:tc>
      </w:tr>
      <w:tr>
        <w:trPr/>
        <w:tc>
          <w:tcPr>
            <w:tcW w:w="1094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bandsaw use</w:t>
            </w:r>
          </w:p>
        </w:tc>
        <w:tc>
          <w:tcPr>
            <w:tcW w:w="245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r>
        <w:rPr>
          <w:rFonts w:ascii="Times New Roman"/>
          <w:b w:val="false"/>
          <w:i w:val="false"/>
          <w:color w:val="000000"/>
          <w:sz w:val="24"/>
        </w:rPr>
        <w:t xml:space="preserve"> </w:t>
      </w: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Prepare an income statement following the Example in Appendix 2B in which any cost of unused capacity is directly recorded on the income statement as a period expense.</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b w:val="false"/>
          <w:i w:val="false"/>
          <w:color w:val="000000"/>
          <w:sz w:val="24"/>
        </w:rPr>
        <w:t>Danaher Woodworking Corporation produces fine furniture. The company uses a job-order costing system in which its predetermined overhead rate is based on capacity. The capacity of the factory is determined by the capacity of its constraint, which is an automated lathe. Additional information is provided below for the most recent month:</w:t>
      </w:r>
      <w:r>
        <w:rPr>
          <w:rFonts w:ascii="Times New Roman"/>
          <w:sz w:val="24"/>
        </w:rPr>
        <w:br/>
      </w:r>
      <w:r>
        <w:rPr>
          <w:rFonts w:ascii="Times New Roman"/>
          <w:sz w:val="24"/>
        </w:rPr>
      </w:r>
    </w:p>
    <w:tbl>
      <w:tblPr>
        <w:tblLayout w:type="autofit"/>
      </w:tblPr>
      <w:tr>
        <w:trPr/>
        <w:tc>
          <w:tcPr>
            <w:tcW w:w="105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2432" w:type="dxa"/>
            <w:tcBorders/>
            <w:tcMar>
              <w:top w:w="15" w:type="dxa"/>
              <w:left w:w="15" w:type="dxa"/>
              <w:bottom w:w="15" w:type="dxa"/>
              <w:right w:w="75" w:type="dxa"/>
            </w:tcMar>
            <w:vAlign w:val="top"/>
          </w:tcPr>
          <w:p/>
        </w:tc>
      </w:tr>
      <w:tr>
        <w:trPr/>
        <w:tc>
          <w:tcPr>
            <w:tcW w:w="1056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2432" w:type="dxa"/>
            <w:tcBorders/>
            <w:tcMar>
              <w:top w:w="15" w:type="dxa"/>
              <w:left w:w="15" w:type="dxa"/>
              <w:bottom w:w="15" w:type="dxa"/>
              <w:right w:w="1005" w:type="dxa"/>
            </w:tcMar>
            <w:vAlign w:val="top"/>
          </w:tcPr>
          <w:p>
            <w:pPr>
              <w:spacing w:after="0"/>
              <w:ind w:left="0"/>
              <w:jc w:val="right"/>
            </w:pPr>
            <w:r>
              <w:rPr>
                <w:rFonts w:ascii="Courier New" w:hAnsi="Courier New"/>
                <w:b w:val="false"/>
                <w:i w:val="false"/>
                <w:color w:val="000000"/>
                <w:sz w:val="22"/>
              </w:rPr>
              <w:t>$22,701</w:t>
            </w:r>
          </w:p>
        </w:tc>
      </w:tr>
      <w:tr>
        <w:trPr/>
        <w:tc>
          <w:tcPr>
            <w:tcW w:w="1056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lathe</w:t>
            </w:r>
          </w:p>
        </w:tc>
        <w:tc>
          <w:tcPr>
            <w:tcW w:w="243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230 hours</w:t>
            </w:r>
          </w:p>
        </w:tc>
      </w:tr>
      <w:tr>
        <w:trPr/>
        <w:tc>
          <w:tcPr>
            <w:tcW w:w="105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2432" w:type="dxa"/>
            <w:tcBorders/>
            <w:tcMar>
              <w:top w:w="15" w:type="dxa"/>
              <w:left w:w="15" w:type="dxa"/>
              <w:bottom w:w="15" w:type="dxa"/>
              <w:right w:w="75" w:type="dxa"/>
            </w:tcMar>
            <w:vAlign w:val="top"/>
          </w:tcPr>
          <w:p/>
        </w:tc>
      </w:tr>
      <w:tr>
        <w:trPr/>
        <w:tc>
          <w:tcPr>
            <w:tcW w:w="1056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2432" w:type="dxa"/>
            <w:tcBorders/>
            <w:tcMar>
              <w:top w:w="15" w:type="dxa"/>
              <w:left w:w="15" w:type="dxa"/>
              <w:bottom w:w="15" w:type="dxa"/>
              <w:right w:w="1005" w:type="dxa"/>
            </w:tcMar>
            <w:vAlign w:val="top"/>
          </w:tcPr>
          <w:p>
            <w:pPr>
              <w:spacing w:after="0"/>
              <w:ind w:left="0"/>
              <w:jc w:val="right"/>
            </w:pPr>
            <w:r>
              <w:rPr>
                <w:rFonts w:ascii="Courier New" w:hAnsi="Courier New"/>
                <w:b w:val="false"/>
                <w:i w:val="false"/>
                <w:color w:val="000000"/>
                <w:sz w:val="22"/>
              </w:rPr>
              <w:t>$22,701</w:t>
            </w:r>
          </w:p>
        </w:tc>
      </w:tr>
      <w:tr>
        <w:trPr/>
        <w:tc>
          <w:tcPr>
            <w:tcW w:w="1056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lathe use</w:t>
            </w:r>
          </w:p>
        </w:tc>
        <w:tc>
          <w:tcPr>
            <w:tcW w:w="243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210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a. Calculate the predetermined overhead rate based on capacity.</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b. Calculate the manufacturing overhead applied.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 Calculate the cost of unused capacity.</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b w:val="false"/>
          <w:i w:val="false"/>
          <w:color w:val="000000"/>
          <w:sz w:val="24"/>
        </w:rPr>
        <w:t>Danaher Woodworking Corporation produces fine furniture. The company uses a job-order costing system in which its predetermined overhead rate is based on capacity. The capacity of the factory is determined by the capacity of its constraint, which is an automated lathe. Additional information is provided below for the most recent month:</w:t>
      </w:r>
      <w:r>
        <w:rPr>
          <w:rFonts w:ascii="Times New Roman"/>
          <w:sz w:val="24"/>
        </w:rPr>
        <w:br/>
      </w:r>
      <w:r>
        <w:rPr>
          <w:rFonts w:ascii="Times New Roman"/>
          <w:sz w:val="24"/>
        </w:rPr>
      </w:r>
    </w:p>
    <w:tbl>
      <w:tblPr>
        <w:tblLayout w:type="autofit"/>
      </w:tblPr>
      <w:tr>
        <w:trPr/>
        <w:tc>
          <w:tcPr>
            <w:tcW w:w="105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Estimates at the beginning of the month:</w:t>
            </w:r>
          </w:p>
        </w:tc>
        <w:tc>
          <w:tcPr>
            <w:tcW w:w="2432" w:type="dxa"/>
            <w:tcBorders/>
            <w:tcMar>
              <w:top w:w="15" w:type="dxa"/>
              <w:left w:w="15" w:type="dxa"/>
              <w:bottom w:w="15" w:type="dxa"/>
              <w:right w:w="75" w:type="dxa"/>
            </w:tcMar>
            <w:vAlign w:val="top"/>
          </w:tcPr>
          <w:p/>
        </w:tc>
      </w:tr>
      <w:tr>
        <w:trPr/>
        <w:tc>
          <w:tcPr>
            <w:tcW w:w="1056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2432" w:type="dxa"/>
            <w:tcBorders/>
            <w:tcMar>
              <w:top w:w="15" w:type="dxa"/>
              <w:left w:w="15" w:type="dxa"/>
              <w:bottom w:w="15" w:type="dxa"/>
              <w:right w:w="1005" w:type="dxa"/>
            </w:tcMar>
            <w:vAlign w:val="top"/>
          </w:tcPr>
          <w:p>
            <w:pPr>
              <w:spacing w:after="0"/>
              <w:ind w:left="0"/>
              <w:jc w:val="right"/>
            </w:pPr>
            <w:r>
              <w:rPr>
                <w:rFonts w:ascii="Courier New" w:hAnsi="Courier New"/>
                <w:b w:val="false"/>
                <w:i w:val="false"/>
                <w:color w:val="000000"/>
                <w:sz w:val="22"/>
              </w:rPr>
              <w:t>$26,700</w:t>
            </w:r>
          </w:p>
        </w:tc>
      </w:tr>
      <w:tr>
        <w:trPr/>
        <w:tc>
          <w:tcPr>
            <w:tcW w:w="1056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Capacity of the lathe</w:t>
            </w:r>
          </w:p>
        </w:tc>
        <w:tc>
          <w:tcPr>
            <w:tcW w:w="243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300 hours</w:t>
            </w:r>
          </w:p>
        </w:tc>
      </w:tr>
      <w:tr>
        <w:trPr/>
        <w:tc>
          <w:tcPr>
            <w:tcW w:w="10568"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results:</w:t>
            </w:r>
          </w:p>
        </w:tc>
        <w:tc>
          <w:tcPr>
            <w:tcW w:w="2432" w:type="dxa"/>
            <w:tcBorders/>
            <w:tcMar>
              <w:top w:w="15" w:type="dxa"/>
              <w:left w:w="15" w:type="dxa"/>
              <w:bottom w:w="15" w:type="dxa"/>
              <w:right w:w="75" w:type="dxa"/>
            </w:tcMar>
            <w:vAlign w:val="top"/>
          </w:tcPr>
          <w:p/>
        </w:tc>
      </w:tr>
      <w:tr>
        <w:trPr/>
        <w:tc>
          <w:tcPr>
            <w:tcW w:w="1056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total fixed manufacturing overhead</w:t>
            </w:r>
          </w:p>
        </w:tc>
        <w:tc>
          <w:tcPr>
            <w:tcW w:w="2432" w:type="dxa"/>
            <w:tcBorders/>
            <w:tcMar>
              <w:top w:w="15" w:type="dxa"/>
              <w:left w:w="15" w:type="dxa"/>
              <w:bottom w:w="15" w:type="dxa"/>
              <w:right w:w="1005" w:type="dxa"/>
            </w:tcMar>
            <w:vAlign w:val="top"/>
          </w:tcPr>
          <w:p>
            <w:pPr>
              <w:spacing w:after="0"/>
              <w:ind w:left="0"/>
              <w:jc w:val="right"/>
            </w:pPr>
            <w:r>
              <w:rPr>
                <w:rFonts w:ascii="Courier New" w:hAnsi="Courier New"/>
                <w:b w:val="false"/>
                <w:i w:val="false"/>
                <w:color w:val="000000"/>
                <w:sz w:val="22"/>
              </w:rPr>
              <w:t>$26,700</w:t>
            </w:r>
          </w:p>
        </w:tc>
      </w:tr>
      <w:tr>
        <w:trPr/>
        <w:tc>
          <w:tcPr>
            <w:tcW w:w="10568"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Actual hours of lathe use</w:t>
            </w:r>
          </w:p>
        </w:tc>
        <w:tc>
          <w:tcPr>
            <w:tcW w:w="243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250 hours</w:t>
            </w:r>
          </w:p>
        </w:tc>
      </w:tr>
    </w:tbl>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i w:val="false"/>
          <w:color w:val="000000"/>
          <w:sz w:val="24"/>
        </w:rPr>
        <w:t>Required: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a. Calculate the predetermined overhead rate based on capacity.</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b. Calculate the manufacturing overhead applied.</w:t>
      </w:r>
      <w:r>
        <w:rPr>
          <w:rFonts w:ascii="Times New Roman"/>
          <w:sz w:val="24"/>
        </w:rPr>
        <w:br/>
      </w:r>
      <w:r>
        <w:rPr>
          <w:rFonts w:ascii="Times New Roman"/>
          <w:b w:val="false"/>
          <w:i w:val="false"/>
          <w:color w:val="000000"/>
          <w:sz w:val="24"/>
        </w:rPr>
        <w:t xml:space="preserve">   </w:t>
      </w:r>
      <w:r>
        <w:rPr>
          <w:rFonts w:ascii="Times New Roman"/>
          <w:b w:val="false"/>
          <w:i w:val="false"/>
          <w:color w:val="000000"/>
          <w:sz w:val="24"/>
        </w:rPr>
        <w:t>c. Calculate the cost of unused capacity.</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 2B</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1)   </w:t>
      </w:r>
      <w:r>
        <w:rPr>
          <w:rFonts w:ascii="Times New Roman" w:hAnsi="Times New Roman"/>
          <w:b w:val="false"/>
          <w:i w:val="false"/>
          <w:color w:val="000000"/>
          <w:sz w:val="32"/>
        </w:rPr>
        <w:t>Predetermined overhead rate = Estimated total manufacturing overhead ÷ Estimated total amount of the allocation base = $989,000 ÷ 50,000 machine-hours = $19.78 per machine-hour</w:t>
      </w:r>
      <w:r>
        <w:br/>
      </w:r>
      <w:r>
        <w:rPr>
          <w:rFonts w:ascii="Times New Roman"/>
          <w:sz w:val="32"/>
        </w:rPr>
      </w:r>
    </w:p>
    <w:tbl>
      <w:tblPr>
        <w:tblLayout w:type="autofit"/>
      </w:tblPr>
      <w:tr>
        <w:trPr>
          <w:trHeight w:val="15" w:hRule="atLeast"/>
        </w:trPr>
        <w:tc>
          <w:tcPr>
            <w:tcW w:w="1052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5477" w:type="dxa"/>
            <w:tcBorders>
              <w:bottom w:val="single" w:color="000000" w:sz="8"/>
            </w:tcBorders>
            <w:tcMar>
              <w:top w:w="15" w:type="dxa"/>
              <w:left w:w="15" w:type="dxa"/>
              <w:bottom w:w="15" w:type="dxa"/>
              <w:right w:w="2190" w:type="dxa"/>
            </w:tcMar>
            <w:vAlign w:val="top"/>
          </w:tcPr>
          <w:p>
            <w:pPr>
              <w:spacing w:after="0"/>
              <w:ind w:left="0"/>
              <w:jc w:val="right"/>
            </w:pPr>
            <w:r>
              <w:rPr>
                <w:rFonts w:ascii="Courier New" w:hAnsi="Courier New"/>
                <w:b w:val="false"/>
                <w:i w:val="false"/>
                <w:color w:val="000000"/>
                <w:sz w:val="22"/>
              </w:rPr>
              <w:t>$989,000</w:t>
            </w:r>
          </w:p>
        </w:tc>
      </w:tr>
      <w:tr>
        <w:trPr/>
        <w:tc>
          <w:tcPr>
            <w:tcW w:w="1052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477" w:type="dxa"/>
            <w:tcBorders/>
            <w:tcMar>
              <w:top w:w="15" w:type="dxa"/>
              <w:left w:w="15" w:type="dxa"/>
              <w:bottom w:w="15" w:type="dxa"/>
              <w:right w:w="15" w:type="dxa"/>
            </w:tcMar>
            <w:vAlign w:val="top"/>
          </w:tcPr>
          <w:p/>
        </w:tc>
      </w:tr>
      <w:tr>
        <w:trPr/>
        <w:tc>
          <w:tcPr>
            <w:tcW w:w="1052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47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$ 19.78 per machine-hour</w:t>
            </w:r>
          </w:p>
        </w:tc>
      </w:tr>
      <w:tr>
        <w:trPr/>
        <w:tc>
          <w:tcPr>
            <w:tcW w:w="1052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547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45,400 machine-hours</w:t>
            </w:r>
          </w:p>
        </w:tc>
      </w:tr>
      <w:tr>
        <w:trPr>
          <w:trHeight w:val="15" w:hRule="atLeast"/>
        </w:trPr>
        <w:tc>
          <w:tcPr>
            <w:tcW w:w="1052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477" w:type="dxa"/>
            <w:tcBorders>
              <w:bottom w:val="single" w:color="000000" w:sz="8"/>
            </w:tcBorders>
            <w:tcMar>
              <w:top w:w="15" w:type="dxa"/>
              <w:left w:w="15" w:type="dxa"/>
              <w:bottom w:w="15" w:type="dxa"/>
              <w:right w:w="2190" w:type="dxa"/>
            </w:tcMar>
            <w:vAlign w:val="top"/>
          </w:tcPr>
          <w:p>
            <w:pPr>
              <w:spacing w:after="0"/>
              <w:ind w:left="0"/>
              <w:jc w:val="right"/>
            </w:pPr>
            <w:r>
              <w:rPr>
                <w:rFonts w:ascii="Courier New" w:hAnsi="Courier New"/>
                <w:b w:val="false"/>
                <w:i w:val="false"/>
                <w:color w:val="000000"/>
                <w:sz w:val="22"/>
              </w:rPr>
              <w:t>$898,012</w:t>
            </w:r>
          </w:p>
        </w:tc>
      </w:tr>
      <w:tr>
        <w:trPr>
          <w:trHeight w:val="120" w:hRule="atLeast"/>
        </w:trPr>
        <w:tc>
          <w:tcPr>
            <w:tcW w:w="1052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5477" w:type="dxa"/>
            <w:tcBorders>
              <w:bottom w:val="double" w:color="000000" w:sz="5"/>
            </w:tcBorders>
            <w:tcMar>
              <w:top w:w="45" w:type="dxa"/>
              <w:left w:w="15" w:type="dxa"/>
              <w:bottom w:w="45" w:type="dxa"/>
              <w:right w:w="2190" w:type="dxa"/>
            </w:tcMar>
            <w:vAlign w:val="top"/>
          </w:tcPr>
          <w:p>
            <w:pPr>
              <w:spacing w:after="0"/>
              <w:ind w:left="0"/>
              <w:jc w:val="right"/>
            </w:pPr>
            <w:r>
              <w:rPr>
                <w:rFonts w:ascii="Courier New" w:hAnsi="Courier New"/>
                <w:b w:val="false"/>
                <w:i w:val="false"/>
                <w:color w:val="000000"/>
                <w:sz w:val="22"/>
              </w:rPr>
              <w:t>$ 90,988</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2)   </w:t>
      </w:r>
      <w:r>
        <w:rPr>
          <w:rFonts w:ascii="Times New Roman" w:hAnsi="Times New Roman"/>
          <w:b w:val="false"/>
          <w:i w:val="false"/>
          <w:color w:val="000000"/>
          <w:sz w:val="32"/>
        </w:rPr>
        <w:t>Predetermined overhead rate = Estimated total manufacturing overhead at capacity ÷ Estimated total amount of the allocation baseat capacity = $1,395,000 ÷ 62,000 machine-hours = $22.50 per machine-hour</w:t>
      </w:r>
      <w:r>
        <w:br/>
      </w:r>
      <w:r>
        <w:rPr>
          <w:rFonts w:ascii="Times New Roman"/>
          <w:sz w:val="32"/>
        </w:rPr>
      </w:r>
    </w:p>
    <w:tbl>
      <w:tblPr>
        <w:tblLayout w:type="autofit"/>
      </w:tblPr>
      <w:tr>
        <w:trPr>
          <w:trHeight w:val="15" w:hRule="atLeast"/>
        </w:trPr>
        <w:tc>
          <w:tcPr>
            <w:tcW w:w="104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manufacturing overhead cost incurred</w:t>
            </w:r>
          </w:p>
        </w:tc>
        <w:tc>
          <w:tcPr>
            <w:tcW w:w="5547" w:type="dxa"/>
            <w:tcBorders>
              <w:bottom w:val="single" w:color="000000" w:sz="8"/>
            </w:tcBorders>
            <w:tcMar>
              <w:top w:w="15" w:type="dxa"/>
              <w:left w:w="15" w:type="dxa"/>
              <w:bottom w:w="15" w:type="dxa"/>
              <w:right w:w="2190" w:type="dxa"/>
            </w:tcMar>
            <w:vAlign w:val="top"/>
          </w:tcPr>
          <w:p>
            <w:pPr>
              <w:spacing w:after="0"/>
              <w:ind w:left="0"/>
              <w:jc w:val="right"/>
            </w:pPr>
            <w:r>
              <w:rPr>
                <w:rFonts w:ascii="Courier New" w:hAnsi="Courier New"/>
                <w:b w:val="false"/>
                <w:i w:val="false"/>
                <w:color w:val="000000"/>
                <w:sz w:val="22"/>
              </w:rPr>
              <w:t>$1,395,000</w:t>
            </w:r>
          </w:p>
        </w:tc>
      </w:tr>
      <w:tr>
        <w:trPr/>
        <w:tc>
          <w:tcPr>
            <w:tcW w:w="104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547" w:type="dxa"/>
            <w:tcBorders/>
            <w:tcMar>
              <w:top w:w="15" w:type="dxa"/>
              <w:left w:w="15" w:type="dxa"/>
              <w:bottom w:w="15" w:type="dxa"/>
              <w:right w:w="15" w:type="dxa"/>
            </w:tcMar>
            <w:vAlign w:val="top"/>
          </w:tcPr>
          <w:p/>
        </w:tc>
      </w:tr>
      <w:tr>
        <w:trPr/>
        <w:tc>
          <w:tcPr>
            <w:tcW w:w="104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5547"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$ 22.50 per machine-hour</w:t>
            </w:r>
          </w:p>
        </w:tc>
      </w:tr>
      <w:tr>
        <w:trPr/>
        <w:tc>
          <w:tcPr>
            <w:tcW w:w="104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Actual hours</w:t>
            </w:r>
          </w:p>
        </w:tc>
        <w:tc>
          <w:tcPr>
            <w:tcW w:w="5547"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53,000 machine-hours</w:t>
            </w:r>
          </w:p>
        </w:tc>
      </w:tr>
      <w:tr>
        <w:trPr>
          <w:trHeight w:val="15" w:hRule="atLeast"/>
        </w:trPr>
        <w:tc>
          <w:tcPr>
            <w:tcW w:w="104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Manufacturing overhead applied to jobs</w:t>
            </w:r>
          </w:p>
        </w:tc>
        <w:tc>
          <w:tcPr>
            <w:tcW w:w="5547" w:type="dxa"/>
            <w:tcBorders>
              <w:bottom w:val="single" w:color="000000" w:sz="8"/>
            </w:tcBorders>
            <w:tcMar>
              <w:top w:w="15" w:type="dxa"/>
              <w:left w:w="15" w:type="dxa"/>
              <w:bottom w:w="15" w:type="dxa"/>
              <w:right w:w="2190" w:type="dxa"/>
            </w:tcMar>
            <w:vAlign w:val="top"/>
          </w:tcPr>
          <w:p>
            <w:pPr>
              <w:spacing w:after="0"/>
              <w:ind w:left="0"/>
              <w:jc w:val="right"/>
            </w:pPr>
            <w:r>
              <w:rPr>
                <w:rFonts w:ascii="Courier New" w:hAnsi="Courier New"/>
                <w:b w:val="false"/>
                <w:i w:val="false"/>
                <w:color w:val="000000"/>
                <w:sz w:val="22"/>
              </w:rPr>
              <w:t>$1,192,500</w:t>
            </w:r>
          </w:p>
        </w:tc>
      </w:tr>
      <w:tr>
        <w:trPr>
          <w:trHeight w:val="120" w:hRule="atLeast"/>
        </w:trPr>
        <w:tc>
          <w:tcPr>
            <w:tcW w:w="10453"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unused capacity</w:t>
            </w:r>
          </w:p>
        </w:tc>
        <w:tc>
          <w:tcPr>
            <w:tcW w:w="5547" w:type="dxa"/>
            <w:tcBorders>
              <w:bottom w:val="double" w:color="000000" w:sz="5"/>
            </w:tcBorders>
            <w:tcMar>
              <w:top w:w="45" w:type="dxa"/>
              <w:left w:w="15" w:type="dxa"/>
              <w:bottom w:w="45" w:type="dxa"/>
              <w:right w:w="2190" w:type="dxa"/>
            </w:tcMar>
            <w:vAlign w:val="top"/>
          </w:tcPr>
          <w:p>
            <w:pPr>
              <w:spacing w:after="0"/>
              <w:ind w:left="0"/>
              <w:jc w:val="right"/>
            </w:pPr>
            <w:r>
              <w:rPr>
                <w:rFonts w:ascii="Courier New" w:hAnsi="Courier New"/>
                <w:b w:val="false"/>
                <w:i w:val="false"/>
                <w:color w:val="000000"/>
                <w:sz w:val="22"/>
              </w:rPr>
              <w:t>$ 202,500</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3)   </w:t>
      </w:r>
      <w:r>
        <w:rPr>
          <w:rFonts w:ascii="Times New Roman" w:hAnsi="Times New Roman"/>
          <w:b w:val="false"/>
          <w:i w:val="false"/>
          <w:color w:val="000000"/>
          <w:sz w:val="32"/>
        </w:rPr>
        <w:t>a.</w:t>
      </w:r>
      <w:r>
        <w:br/>
      </w:r>
      <w:r>
        <w:rPr>
          <w:rFonts w:ascii="Times New Roman"/>
          <w:sz w:val="32"/>
        </w:rPr>
      </w:r>
    </w:p>
    <w:tbl>
      <w:tblPr>
        <w:tblLayout w:type="autofit"/>
      </w:tblPr>
      <w:tr>
        <w:trPr/>
        <w:tc>
          <w:tcPr>
            <w:tcW w:w="83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4398" w:type="dxa"/>
            <w:tcBorders/>
            <w:tcMar>
              <w:top w:w="15" w:type="dxa"/>
              <w:left w:w="15" w:type="dxa"/>
              <w:bottom w:w="15" w:type="dxa"/>
              <w:right w:w="1215" w:type="dxa"/>
            </w:tcMar>
            <w:vAlign w:val="top"/>
          </w:tcPr>
          <w:p>
            <w:pPr>
              <w:spacing w:after="0"/>
              <w:ind w:left="0"/>
              <w:jc w:val="right"/>
            </w:pPr>
            <w:r>
              <w:rPr>
                <w:rFonts w:ascii="Courier New" w:hAnsi="Courier New"/>
                <w:b w:val="false"/>
                <w:i w:val="false"/>
                <w:color w:val="000000"/>
                <w:sz w:val="22"/>
              </w:rPr>
              <w:t>$24,500</w:t>
            </w:r>
          </w:p>
        </w:tc>
      </w:tr>
      <w:tr>
        <w:trPr/>
        <w:tc>
          <w:tcPr>
            <w:tcW w:w="83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w:t>
            </w:r>
          </w:p>
        </w:tc>
        <w:tc>
          <w:tcPr>
            <w:tcW w:w="4398" w:type="dxa"/>
            <w:tcBorders/>
            <w:tcMar>
              <w:top w:w="15" w:type="dxa"/>
              <w:left w:w="15" w:type="dxa"/>
              <w:bottom w:w="15" w:type="dxa"/>
              <w:right w:w="495" w:type="dxa"/>
            </w:tcMar>
            <w:vAlign w:val="top"/>
          </w:tcPr>
          <w:p>
            <w:pPr>
              <w:spacing w:after="0"/>
              <w:ind w:left="0"/>
              <w:jc w:val="right"/>
            </w:pPr>
            <w:r>
              <w:rPr>
                <w:rFonts w:ascii="Courier New" w:hAnsi="Courier New"/>
                <w:b w:val="false"/>
                <w:i w:val="false"/>
                <w:color w:val="000000"/>
                <w:sz w:val="22"/>
              </w:rPr>
              <w:t>250 hours</w:t>
            </w:r>
          </w:p>
        </w:tc>
      </w:tr>
      <w:tr>
        <w:trPr/>
        <w:tc>
          <w:tcPr>
            <w:tcW w:w="8302"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398"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$98.00 per 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br/>
      </w:r>
      <w:r>
        <w:rPr>
          <w:rFonts w:ascii="Times New Roman" w:hAnsi="Times New Roman"/>
          <w:b w:val="false"/>
          <w:i w:val="false"/>
          <w:color w:val="000000"/>
          <w:sz w:val="32"/>
        </w:rPr>
        <w:t xml:space="preserve"> b. Manufacturing overhead applied = 200 hours × $98.00 per hour = $19,600</w:t>
      </w:r>
      <w:r>
        <w:br/>
      </w:r>
      <w:r>
        <w:rPr>
          <w:rFonts w:ascii="Times New Roman" w:hAnsi="Times New Roman"/>
          <w:b w:val="false"/>
          <w:i w:val="false"/>
          <w:color w:val="000000"/>
          <w:sz w:val="32"/>
        </w:rPr>
        <w:t xml:space="preserve">   </w:t>
      </w:r>
      <w:r>
        <w:br/>
      </w:r>
      <w:r>
        <w:rPr>
          <w:rFonts w:ascii="Times New Roman" w:hAnsi="Times New Roman"/>
          <w:b w:val="false"/>
          <w:i w:val="false"/>
          <w:color w:val="000000"/>
          <w:sz w:val="32"/>
        </w:rPr>
        <w:t xml:space="preserve"> c.</w:t>
      </w:r>
      <w:r>
        <w:br/>
      </w:r>
      <w:r>
        <w:rPr>
          <w:rFonts w:ascii="Times New Roman"/>
          <w:sz w:val="32"/>
        </w:rPr>
      </w:r>
    </w:p>
    <w:tbl>
      <w:tblPr>
        <w:tblLayout w:type="autofit"/>
      </w:tblPr>
      <w:tr>
        <w:trPr/>
        <w:tc>
          <w:tcPr>
            <w:tcW w:w="70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w:t>
            </w:r>
          </w:p>
        </w:tc>
        <w:tc>
          <w:tcPr>
            <w:tcW w:w="1092" w:type="dxa"/>
            <w:tcBorders/>
            <w:tcMar>
              <w:top w:w="15" w:type="dxa"/>
              <w:left w:w="15" w:type="dxa"/>
              <w:bottom w:w="15" w:type="dxa"/>
              <w:right w:w="15" w:type="dxa"/>
            </w:tcMar>
            <w:vAlign w:val="top"/>
          </w:tcP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$71,706</w:t>
            </w:r>
          </w:p>
        </w:tc>
      </w:tr>
      <w:tr>
        <w:trPr/>
        <w:tc>
          <w:tcPr>
            <w:tcW w:w="70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Goods Sold:</w:t>
            </w:r>
          </w:p>
        </w:tc>
        <w:tc>
          <w:tcPr>
            <w:tcW w:w="1092" w:type="dxa"/>
            <w:tcBorders/>
            <w:tcMar>
              <w:top w:w="15" w:type="dxa"/>
              <w:left w:w="15" w:type="dxa"/>
              <w:bottom w:w="15" w:type="dxa"/>
              <w:right w:w="15" w:type="dxa"/>
            </w:tcMar>
            <w:vAlign w:val="top"/>
          </w:tcPr>
          <w:p/>
        </w:tc>
        <w:tc>
          <w:tcPr>
            <w:tcW w:w="1292" w:type="dxa"/>
            <w:tcBorders/>
            <w:tcMar>
              <w:top w:w="15" w:type="dxa"/>
              <w:left w:w="15" w:type="dxa"/>
              <w:bottom w:w="15" w:type="dxa"/>
              <w:right w:w="150" w:type="dxa"/>
            </w:tcMar>
            <w:vAlign w:val="top"/>
          </w:tcPr>
          <w:p/>
        </w:tc>
      </w:tr>
      <w:tr>
        <w:trPr/>
        <w:tc>
          <w:tcPr>
            <w:tcW w:w="701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092" w:type="dxa"/>
            <w:tcBorders/>
            <w:tcMar>
              <w:top w:w="15" w:type="dxa"/>
              <w:left w:w="15" w:type="dxa"/>
              <w:bottom w:w="15" w:type="dxa"/>
              <w:right w:w="15" w:type="dxa"/>
            </w:tcMar>
            <w:vAlign w:val="top"/>
          </w:tcPr>
          <w:p>
            <w:pPr>
              <w:spacing w:after="0"/>
              <w:ind w:left="0"/>
              <w:jc w:val="right"/>
            </w:pPr>
            <w:r>
              <w:rPr>
                <w:rFonts w:ascii="Courier New" w:hAnsi="Courier New"/>
                <w:b w:val="false"/>
                <w:i w:val="false"/>
                <w:color w:val="000000"/>
                <w:sz w:val="22"/>
              </w:rPr>
              <w:t>$12,500</w:t>
            </w:r>
          </w:p>
        </w:tc>
        <w:tc>
          <w:tcPr>
            <w:tcW w:w="1292" w:type="dxa"/>
            <w:tcBorders/>
            <w:tcMar>
              <w:top w:w="15" w:type="dxa"/>
              <w:left w:w="15" w:type="dxa"/>
              <w:bottom w:w="15" w:type="dxa"/>
              <w:right w:w="150" w:type="dxa"/>
            </w:tcMar>
            <w:vAlign w:val="top"/>
          </w:tcPr>
          <w:p/>
        </w:tc>
      </w:tr>
      <w:tr>
        <w:trPr/>
        <w:tc>
          <w:tcPr>
            <w:tcW w:w="701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092" w:type="dxa"/>
            <w:tcBorders/>
            <w:tcMar>
              <w:top w:w="15" w:type="dxa"/>
              <w:left w:w="15" w:type="dxa"/>
              <w:bottom w:w="15" w:type="dxa"/>
              <w:right w:w="15" w:type="dxa"/>
            </w:tcMar>
            <w:vAlign w:val="top"/>
          </w:tcPr>
          <w:p>
            <w:pPr>
              <w:spacing w:after="0"/>
              <w:ind w:left="0"/>
              <w:jc w:val="right"/>
            </w:pPr>
            <w:r>
              <w:rPr>
                <w:rFonts w:ascii="Courier New" w:hAnsi="Courier New"/>
                <w:b w:val="false"/>
                <w:i w:val="false"/>
                <w:color w:val="000000"/>
                <w:sz w:val="22"/>
              </w:rPr>
              <w:t>17,900</w:t>
            </w:r>
          </w:p>
        </w:tc>
        <w:tc>
          <w:tcPr>
            <w:tcW w:w="1292" w:type="dxa"/>
            <w:tcBorders/>
            <w:tcMar>
              <w:top w:w="15" w:type="dxa"/>
              <w:left w:w="15" w:type="dxa"/>
              <w:bottom w:w="15" w:type="dxa"/>
              <w:right w:w="150" w:type="dxa"/>
            </w:tcMar>
            <w:vAlign w:val="top"/>
          </w:tcPr>
          <w:p/>
        </w:tc>
      </w:tr>
      <w:tr>
        <w:trPr>
          <w:trHeight w:val="15" w:hRule="atLeast"/>
        </w:trPr>
        <w:tc>
          <w:tcPr>
            <w:tcW w:w="701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Manufacturing overhead applied</w:t>
            </w:r>
          </w:p>
        </w:tc>
        <w:tc>
          <w:tcPr>
            <w:tcW w:w="1092" w:type="dxa"/>
            <w:tcBorders>
              <w:bottom w:val="single" w:color="000000" w:sz="8"/>
            </w:tcBorders>
            <w:tcMar>
              <w:top w:w="15" w:type="dxa"/>
              <w:left w:w="15" w:type="dxa"/>
              <w:bottom w:w="15" w:type="dxa"/>
              <w:right w:w="15" w:type="dxa"/>
            </w:tcMar>
            <w:vAlign w:val="top"/>
          </w:tcPr>
          <w:p>
            <w:pPr>
              <w:spacing w:after="0"/>
              <w:ind w:left="0"/>
              <w:jc w:val="right"/>
            </w:pPr>
            <w:r>
              <w:rPr>
                <w:rFonts w:ascii="Courier New" w:hAnsi="Courier New"/>
                <w:b w:val="false"/>
                <w:i w:val="false"/>
                <w:color w:val="000000"/>
                <w:sz w:val="22"/>
              </w:rPr>
              <w:t>19,600</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50,000</w:t>
            </w:r>
          </w:p>
        </w:tc>
      </w:tr>
      <w:tr>
        <w:trPr>
          <w:trHeight w:val="120" w:hRule="atLeast"/>
        </w:trPr>
        <w:tc>
          <w:tcPr>
            <w:tcW w:w="70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Gross margin</w:t>
            </w:r>
          </w:p>
        </w:tc>
        <w:tc>
          <w:tcPr>
            <w:tcW w:w="1092" w:type="dxa"/>
            <w:tcBorders/>
            <w:tcMar>
              <w:top w:w="15" w:type="dxa"/>
              <w:left w:w="15" w:type="dxa"/>
              <w:bottom w:w="15" w:type="dxa"/>
              <w:right w:w="15" w:type="dxa"/>
            </w:tcMar>
            <w:vAlign w:val="top"/>
          </w:tcP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21,706</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br/>
      </w:r>
      <w:r>
        <w:rPr>
          <w:rFonts w:ascii="Times New Roman" w:hAnsi="Times New Roman"/>
          <w:b w:val="false"/>
          <w:i w:val="false"/>
          <w:color w:val="000000"/>
          <w:sz w:val="32"/>
        </w:rPr>
        <w:t xml:space="preserve"> d. Cost of unused capacity = (250 hours − 200 hours) × $98.00 per hour = $4,900</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w:t>
      </w:r>
    </w:p>
    <w:tbl>
      <w:tblPr>
        <w:tblLayout w:type="autofit"/>
      </w:tblPr>
      <w:tr>
        <w:trPr/>
        <w:tc>
          <w:tcPr>
            <w:tcW w:w="828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4513" w:type="dxa"/>
            <w:tcBorders/>
            <w:tcMar>
              <w:top w:w="15" w:type="dxa"/>
              <w:left w:w="15" w:type="dxa"/>
              <w:bottom w:w="15" w:type="dxa"/>
              <w:right w:w="1245" w:type="dxa"/>
            </w:tcMar>
            <w:vAlign w:val="top"/>
          </w:tcPr>
          <w:p>
            <w:pPr>
              <w:spacing w:after="0"/>
              <w:ind w:left="0"/>
              <w:jc w:val="right"/>
            </w:pPr>
            <w:r>
              <w:rPr>
                <w:rFonts w:ascii="Courier New" w:hAnsi="Courier New"/>
                <w:b w:val="false"/>
                <w:i w:val="false"/>
                <w:color w:val="000000"/>
                <w:sz w:val="22"/>
              </w:rPr>
              <w:t>$24,288</w:t>
            </w:r>
          </w:p>
        </w:tc>
      </w:tr>
      <w:tr>
        <w:trPr/>
        <w:tc>
          <w:tcPr>
            <w:tcW w:w="828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Estimated activity level</w:t>
            </w:r>
          </w:p>
        </w:tc>
        <w:tc>
          <w:tcPr>
            <w:tcW w:w="4513" w:type="dxa"/>
            <w:tcBorders/>
            <w:tcMar>
              <w:top w:w="15" w:type="dxa"/>
              <w:left w:w="15" w:type="dxa"/>
              <w:bottom w:w="15" w:type="dxa"/>
              <w:right w:w="525" w:type="dxa"/>
            </w:tcMar>
            <w:vAlign w:val="top"/>
          </w:tcPr>
          <w:p>
            <w:pPr>
              <w:spacing w:after="0"/>
              <w:ind w:left="0"/>
              <w:jc w:val="right"/>
            </w:pPr>
            <w:r>
              <w:rPr>
                <w:rFonts w:ascii="Courier New" w:hAnsi="Courier New"/>
                <w:b w:val="false"/>
                <w:i w:val="false"/>
                <w:color w:val="000000"/>
                <w:sz w:val="22"/>
              </w:rPr>
              <w:t>240 hours</w:t>
            </w:r>
          </w:p>
        </w:tc>
      </w:tr>
      <w:tr>
        <w:trPr/>
        <w:tc>
          <w:tcPr>
            <w:tcW w:w="8287"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4513"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$101.20 per hour</w:t>
            </w:r>
          </w:p>
        </w:tc>
      </w:tr>
    </w:tbl>
    <w:tbl>
      <w:tblPr>
        <w:tblLayout w:type="autofit"/>
      </w:tblPr>
      <w:tr>
        <w:trPr/>
        <w:tc>
          <w:tcPr>
            <w:tcW w:w="85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Sales</w:t>
            </w:r>
          </w:p>
        </w:tc>
        <w:tc>
          <w:tcPr>
            <w:tcW w:w="1192" w:type="dxa"/>
            <w:tcBorders/>
            <w:tcMar>
              <w:top w:w="15" w:type="dxa"/>
              <w:left w:w="15" w:type="dxa"/>
              <w:bottom w:w="15" w:type="dxa"/>
              <w:right w:w="15" w:type="dxa"/>
            </w:tcMar>
            <w:vAlign w:val="top"/>
          </w:tcP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$71,473</w:t>
            </w:r>
          </w:p>
        </w:tc>
      </w:tr>
      <w:tr>
        <w:trPr/>
        <w:tc>
          <w:tcPr>
            <w:tcW w:w="85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Cost of Goods Sold:</w:t>
            </w:r>
          </w:p>
        </w:tc>
        <w:tc>
          <w:tcPr>
            <w:tcW w:w="1192" w:type="dxa"/>
            <w:tcBorders/>
            <w:tcMar>
              <w:top w:w="15" w:type="dxa"/>
              <w:left w:w="15" w:type="dxa"/>
              <w:bottom w:w="15" w:type="dxa"/>
              <w:right w:w="15" w:type="dxa"/>
            </w:tcMar>
            <w:vAlign w:val="top"/>
          </w:tcPr>
          <w:p/>
        </w:tc>
        <w:tc>
          <w:tcPr>
            <w:tcW w:w="1292" w:type="dxa"/>
            <w:tcBorders/>
            <w:tcMar>
              <w:top w:w="15" w:type="dxa"/>
              <w:left w:w="15" w:type="dxa"/>
              <w:bottom w:w="15" w:type="dxa"/>
              <w:right w:w="150" w:type="dxa"/>
            </w:tcMar>
            <w:vAlign w:val="top"/>
          </w:tcPr>
          <w:p/>
        </w:tc>
      </w:tr>
      <w:tr>
        <w:trPr/>
        <w:tc>
          <w:tcPr>
            <w:tcW w:w="851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materials</w:t>
            </w:r>
          </w:p>
        </w:tc>
        <w:tc>
          <w:tcPr>
            <w:tcW w:w="1192"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$10,400</w:t>
            </w:r>
          </w:p>
        </w:tc>
        <w:tc>
          <w:tcPr>
            <w:tcW w:w="1292" w:type="dxa"/>
            <w:tcBorders/>
            <w:tcMar>
              <w:top w:w="15" w:type="dxa"/>
              <w:left w:w="15" w:type="dxa"/>
              <w:bottom w:w="15" w:type="dxa"/>
              <w:right w:w="150" w:type="dxa"/>
            </w:tcMar>
            <w:vAlign w:val="top"/>
          </w:tcPr>
          <w:p/>
        </w:tc>
      </w:tr>
      <w:tr>
        <w:trPr/>
        <w:tc>
          <w:tcPr>
            <w:tcW w:w="851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Direct labor</w:t>
            </w:r>
          </w:p>
        </w:tc>
        <w:tc>
          <w:tcPr>
            <w:tcW w:w="1192"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17,300</w:t>
            </w:r>
          </w:p>
        </w:tc>
        <w:tc>
          <w:tcPr>
            <w:tcW w:w="1292" w:type="dxa"/>
            <w:tcBorders/>
            <w:tcMar>
              <w:top w:w="15" w:type="dxa"/>
              <w:left w:w="15" w:type="dxa"/>
              <w:bottom w:w="15" w:type="dxa"/>
              <w:right w:w="150" w:type="dxa"/>
            </w:tcMar>
            <w:vAlign w:val="top"/>
          </w:tcPr>
          <w:p/>
        </w:tc>
      </w:tr>
      <w:tr>
        <w:trPr>
          <w:trHeight w:val="15" w:hRule="atLeast"/>
        </w:trPr>
        <w:tc>
          <w:tcPr>
            <w:tcW w:w="8516" w:type="dxa"/>
            <w:tcBorders/>
            <w:tcMar>
              <w:top w:w="15" w:type="dxa"/>
              <w:left w:w="675" w:type="dxa"/>
              <w:bottom w:w="15" w:type="dxa"/>
              <w:right w:w="15" w:type="dxa"/>
            </w:tcMar>
            <w:vAlign w:val="top"/>
          </w:tcPr>
          <w:p>
            <w:pPr>
              <w:spacing w:after="0"/>
              <w:ind w:left="0"/>
              <w:jc w:val="left"/>
            </w:pPr>
            <w:r>
              <w:rPr>
                <w:rFonts w:ascii="Courier New" w:hAnsi="Courier New"/>
                <w:b/>
                <w:i w:val="false"/>
                <w:color w:val="000000"/>
                <w:sz w:val="22"/>
              </w:rPr>
              <w:t>Manufacturing overhead applied 230 hours × $101.20 per hour</w:t>
            </w:r>
          </w:p>
        </w:tc>
        <w:tc>
          <w:tcPr>
            <w:tcW w:w="1192" w:type="dxa"/>
            <w:tcBorders>
              <w:bottom w:val="single" w:color="000000" w:sz="8"/>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23,276</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50,976</w:t>
            </w:r>
          </w:p>
        </w:tc>
      </w:tr>
      <w:tr>
        <w:trPr/>
        <w:tc>
          <w:tcPr>
            <w:tcW w:w="85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Gross margin</w:t>
            </w:r>
          </w:p>
        </w:tc>
        <w:tc>
          <w:tcPr>
            <w:tcW w:w="1192" w:type="dxa"/>
            <w:tcBorders/>
            <w:tcMar>
              <w:top w:w="15" w:type="dxa"/>
              <w:left w:w="15" w:type="dxa"/>
              <w:bottom w:w="15" w:type="dxa"/>
              <w:right w:w="75" w:type="dxa"/>
            </w:tcMar>
            <w:vAlign w:val="top"/>
          </w:tcPr>
          <w:p/>
        </w:tc>
        <w:tc>
          <w:tcPr>
            <w:tcW w:w="1292"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20,497</w:t>
            </w:r>
          </w:p>
        </w:tc>
      </w:tr>
      <w:tr>
        <w:trPr/>
        <w:tc>
          <w:tcPr>
            <w:tcW w:w="8516" w:type="dxa"/>
            <w:tcBorders/>
            <w:tcMar>
              <w:top w:w="15" w:type="dxa"/>
              <w:left w:w="450" w:type="dxa"/>
              <w:bottom w:w="15" w:type="dxa"/>
              <w:right w:w="15" w:type="dxa"/>
            </w:tcMar>
            <w:vAlign w:val="top"/>
          </w:tcPr>
          <w:p>
            <w:pPr>
              <w:spacing w:after="0"/>
              <w:ind w:left="0"/>
              <w:jc w:val="left"/>
            </w:pPr>
            <w:r>
              <w:rPr>
                <w:rFonts w:ascii="Courier New" w:hAnsi="Courier New"/>
                <w:b/>
                <w:i w:val="false"/>
                <w:color w:val="000000"/>
                <w:sz w:val="22"/>
              </w:rPr>
              <w:t>Cost of unused capacity (240 hours − 230 hours) × $101.20 per hour</w:t>
            </w:r>
          </w:p>
        </w:tc>
        <w:tc>
          <w:tcPr>
            <w:tcW w:w="1192" w:type="dxa"/>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$ 1,012</w:t>
            </w:r>
          </w:p>
        </w:tc>
        <w:tc>
          <w:tcPr>
            <w:tcW w:w="1292" w:type="dxa"/>
            <w:tcBorders/>
            <w:tcMar>
              <w:top w:w="15" w:type="dxa"/>
              <w:left w:w="15" w:type="dxa"/>
              <w:bottom w:w="15" w:type="dxa"/>
              <w:right w:w="150" w:type="dxa"/>
            </w:tcMar>
            <w:vAlign w:val="top"/>
          </w:tcPr>
          <w:p/>
        </w:tc>
      </w:tr>
      <w:tr>
        <w:trPr>
          <w:trHeight w:val="15" w:hRule="atLeast"/>
        </w:trPr>
        <w:tc>
          <w:tcPr>
            <w:tcW w:w="85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Selling and administrative expense</w:t>
            </w:r>
          </w:p>
        </w:tc>
        <w:tc>
          <w:tcPr>
            <w:tcW w:w="1192" w:type="dxa"/>
            <w:tcBorders>
              <w:bottom w:val="single" w:color="000000" w:sz="8"/>
            </w:tcBorders>
            <w:tcMar>
              <w:top w:w="15" w:type="dxa"/>
              <w:left w:w="15" w:type="dxa"/>
              <w:bottom w:w="15" w:type="dxa"/>
              <w:right w:w="75" w:type="dxa"/>
            </w:tcMar>
            <w:vAlign w:val="top"/>
          </w:tcPr>
          <w:p>
            <w:pPr>
              <w:spacing w:after="0"/>
              <w:ind w:left="0"/>
              <w:jc w:val="right"/>
            </w:pPr>
            <w:r>
              <w:rPr>
                <w:rFonts w:ascii="Courier New" w:hAnsi="Courier New"/>
                <w:b w:val="false"/>
                <w:i w:val="false"/>
                <w:color w:val="000000"/>
                <w:sz w:val="22"/>
              </w:rPr>
              <w:t>9,100</w:t>
            </w:r>
          </w:p>
        </w:tc>
        <w:tc>
          <w:tcPr>
            <w:tcW w:w="1292" w:type="dxa"/>
            <w:tcBorders>
              <w:bottom w:val="single" w:color="000000" w:sz="8"/>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10,112</w:t>
            </w:r>
          </w:p>
        </w:tc>
      </w:tr>
      <w:tr>
        <w:trPr>
          <w:trHeight w:val="120" w:hRule="atLeast"/>
        </w:trPr>
        <w:tc>
          <w:tcPr>
            <w:tcW w:w="8516" w:type="dxa"/>
            <w:tcBorders/>
            <w:tcMar>
              <w:top w:w="15" w:type="dxa"/>
              <w:left w:w="225" w:type="dxa"/>
              <w:bottom w:w="15" w:type="dxa"/>
              <w:right w:w="15" w:type="dxa"/>
            </w:tcMar>
            <w:vAlign w:val="top"/>
          </w:tcPr>
          <w:p>
            <w:pPr>
              <w:spacing w:after="0"/>
              <w:ind w:left="0"/>
              <w:jc w:val="left"/>
            </w:pPr>
            <w:r>
              <w:rPr>
                <w:rFonts w:ascii="Courier New" w:hAnsi="Courier New"/>
                <w:b/>
                <w:i w:val="false"/>
                <w:color w:val="000000"/>
                <w:sz w:val="22"/>
              </w:rPr>
              <w:t>Net operating income</w:t>
            </w:r>
          </w:p>
        </w:tc>
        <w:tc>
          <w:tcPr>
            <w:tcW w:w="1192" w:type="dxa"/>
            <w:tcBorders/>
            <w:tcMar>
              <w:top w:w="15" w:type="dxa"/>
              <w:left w:w="15" w:type="dxa"/>
              <w:bottom w:w="15" w:type="dxa"/>
              <w:right w:w="15" w:type="dxa"/>
            </w:tcMar>
            <w:vAlign w:val="top"/>
          </w:tcPr>
          <w:p/>
        </w:tc>
        <w:tc>
          <w:tcPr>
            <w:tcW w:w="1292" w:type="dxa"/>
            <w:tcBorders>
              <w:bottom w:val="double" w:color="000000" w:sz="5"/>
            </w:tcBorders>
            <w:tcMar>
              <w:top w:w="45" w:type="dxa"/>
              <w:left w:w="15" w:type="dxa"/>
              <w:bottom w:w="45" w:type="dxa"/>
              <w:right w:w="150" w:type="dxa"/>
            </w:tcMar>
            <w:vAlign w:val="top"/>
          </w:tcPr>
          <w:p>
            <w:pPr>
              <w:spacing w:after="0"/>
              <w:ind w:left="0"/>
              <w:jc w:val="right"/>
            </w:pPr>
            <w:r>
              <w:rPr>
                <w:rFonts w:ascii="Courier New" w:hAnsi="Courier New"/>
                <w:b w:val="false"/>
                <w:i w:val="false"/>
                <w:color w:val="000000"/>
                <w:sz w:val="22"/>
              </w:rPr>
              <w:t>$10,385</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5)   </w:t>
      </w:r>
      <w:r>
        <w:rPr>
          <w:rFonts w:ascii="Times New Roman" w:hAnsi="Times New Roman"/>
          <w:b w:val="false"/>
          <w:i w:val="false"/>
          <w:color w:val="000000"/>
          <w:sz w:val="32"/>
        </w:rPr>
        <w:t>a.</w:t>
      </w:r>
      <w:r>
        <w:br/>
      </w:r>
      <w:r>
        <w:rPr>
          <w:rFonts w:ascii="Times New Roman"/>
          <w:sz w:val="32"/>
        </w:rPr>
      </w:r>
    </w:p>
    <w:tbl>
      <w:tblPr>
        <w:tblLayout w:type="autofit"/>
      </w:tblPr>
      <w:tr>
        <w:trPr/>
        <w:tc>
          <w:tcPr>
            <w:tcW w:w="90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926" w:type="dxa"/>
            <w:tcBorders/>
            <w:tcMar>
              <w:top w:w="15" w:type="dxa"/>
              <w:left w:w="15" w:type="dxa"/>
              <w:bottom w:w="15" w:type="dxa"/>
              <w:right w:w="1200" w:type="dxa"/>
            </w:tcMar>
            <w:vAlign w:val="top"/>
          </w:tcPr>
          <w:p>
            <w:pPr>
              <w:spacing w:after="0"/>
              <w:ind w:left="0"/>
              <w:jc w:val="right"/>
            </w:pPr>
            <w:r>
              <w:rPr>
                <w:rFonts w:ascii="Courier New" w:hAnsi="Courier New"/>
                <w:b w:val="false"/>
                <w:i w:val="false"/>
                <w:color w:val="000000"/>
                <w:sz w:val="22"/>
              </w:rPr>
              <w:t>$22,701</w:t>
            </w:r>
          </w:p>
        </w:tc>
      </w:tr>
      <w:tr>
        <w:trPr/>
        <w:tc>
          <w:tcPr>
            <w:tcW w:w="90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activity level</w:t>
            </w:r>
          </w:p>
        </w:tc>
        <w:tc>
          <w:tcPr>
            <w:tcW w:w="3926" w:type="dxa"/>
            <w:tcBorders/>
            <w:tcMar>
              <w:top w:w="15" w:type="dxa"/>
              <w:left w:w="15" w:type="dxa"/>
              <w:bottom w:w="15" w:type="dxa"/>
              <w:right w:w="495" w:type="dxa"/>
            </w:tcMar>
            <w:vAlign w:val="top"/>
          </w:tcPr>
          <w:p>
            <w:pPr>
              <w:spacing w:after="0"/>
              <w:ind w:left="0"/>
              <w:jc w:val="right"/>
            </w:pPr>
            <w:r>
              <w:rPr>
                <w:rFonts w:ascii="Courier New" w:hAnsi="Courier New"/>
                <w:b w:val="false"/>
                <w:i w:val="false"/>
                <w:color w:val="000000"/>
                <w:sz w:val="22"/>
              </w:rPr>
              <w:t>230 hours</w:t>
            </w:r>
          </w:p>
        </w:tc>
      </w:tr>
      <w:tr>
        <w:trPr/>
        <w:tc>
          <w:tcPr>
            <w:tcW w:w="90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392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$ 98.70 per 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b. Manufacturing overhead applied = 210 hours × $98.70 per hour = $20,727</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 Cost of unused capacity = (230 hours − 210 hours) × $98.70 per hour = $1,974</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6)   </w:t>
      </w:r>
      <w:r>
        <w:rPr>
          <w:rFonts w:ascii="Times New Roman" w:hAnsi="Times New Roman"/>
          <w:b w:val="false"/>
          <w:i w:val="false"/>
          <w:color w:val="000000"/>
          <w:sz w:val="32"/>
        </w:rPr>
        <w:t>a.</w:t>
      </w:r>
      <w:r>
        <w:br/>
      </w:r>
      <w:r>
        <w:rPr>
          <w:rFonts w:ascii="Times New Roman"/>
          <w:sz w:val="32"/>
        </w:rPr>
      </w:r>
    </w:p>
    <w:tbl>
      <w:tblPr>
        <w:tblLayout w:type="autofit"/>
      </w:tblPr>
      <w:tr>
        <w:trPr/>
        <w:tc>
          <w:tcPr>
            <w:tcW w:w="90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total fixed manufacturing overhead</w:t>
            </w:r>
          </w:p>
        </w:tc>
        <w:tc>
          <w:tcPr>
            <w:tcW w:w="3926" w:type="dxa"/>
            <w:tcBorders/>
            <w:tcMar>
              <w:top w:w="15" w:type="dxa"/>
              <w:left w:w="15" w:type="dxa"/>
              <w:bottom w:w="15" w:type="dxa"/>
              <w:right w:w="1200" w:type="dxa"/>
            </w:tcMar>
            <w:vAlign w:val="top"/>
          </w:tcPr>
          <w:p>
            <w:pPr>
              <w:spacing w:after="0"/>
              <w:ind w:left="0"/>
              <w:jc w:val="right"/>
            </w:pPr>
            <w:r>
              <w:rPr>
                <w:rFonts w:ascii="Courier New" w:hAnsi="Courier New"/>
                <w:b w:val="false"/>
                <w:i w:val="false"/>
                <w:color w:val="000000"/>
                <w:sz w:val="22"/>
              </w:rPr>
              <w:t>$26,700</w:t>
            </w:r>
          </w:p>
        </w:tc>
      </w:tr>
      <w:tr>
        <w:trPr/>
        <w:tc>
          <w:tcPr>
            <w:tcW w:w="90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Estimated activity level</w:t>
            </w:r>
          </w:p>
        </w:tc>
        <w:tc>
          <w:tcPr>
            <w:tcW w:w="3926" w:type="dxa"/>
            <w:tcBorders/>
            <w:tcMar>
              <w:top w:w="15" w:type="dxa"/>
              <w:left w:w="15" w:type="dxa"/>
              <w:bottom w:w="15" w:type="dxa"/>
              <w:right w:w="495" w:type="dxa"/>
            </w:tcMar>
            <w:vAlign w:val="top"/>
          </w:tcPr>
          <w:p>
            <w:pPr>
              <w:spacing w:after="0"/>
              <w:ind w:left="0"/>
              <w:jc w:val="right"/>
            </w:pPr>
            <w:r>
              <w:rPr>
                <w:rFonts w:ascii="Courier New" w:hAnsi="Courier New"/>
                <w:b w:val="false"/>
                <w:i w:val="false"/>
                <w:color w:val="000000"/>
                <w:sz w:val="22"/>
              </w:rPr>
              <w:t>300 hours</w:t>
            </w:r>
          </w:p>
        </w:tc>
      </w:tr>
      <w:tr>
        <w:trPr/>
        <w:tc>
          <w:tcPr>
            <w:tcW w:w="9074" w:type="dxa"/>
            <w:tcBorders/>
            <w:tcMar>
              <w:top w:w="15" w:type="dxa"/>
              <w:left w:w="150" w:type="dxa"/>
              <w:bottom w:w="15" w:type="dxa"/>
              <w:right w:w="15" w:type="dxa"/>
            </w:tcMar>
            <w:vAlign w:val="top"/>
          </w:tcPr>
          <w:p>
            <w:pPr>
              <w:spacing w:after="0"/>
              <w:ind w:left="0"/>
              <w:jc w:val="left"/>
            </w:pPr>
            <w:r>
              <w:rPr>
                <w:rFonts w:ascii="Courier New" w:hAnsi="Courier New"/>
                <w:b/>
                <w:i w:val="false"/>
                <w:color w:val="000000"/>
                <w:sz w:val="22"/>
              </w:rPr>
              <w:t>Predetermined overhead rate</w:t>
            </w:r>
          </w:p>
        </w:tc>
        <w:tc>
          <w:tcPr>
            <w:tcW w:w="3926" w:type="dxa"/>
            <w:tcBorders/>
            <w:tcMar>
              <w:top w:w="15" w:type="dxa"/>
              <w:left w:w="15" w:type="dxa"/>
              <w:bottom w:w="15" w:type="dxa"/>
              <w:right w:w="150" w:type="dxa"/>
            </w:tcMar>
            <w:vAlign w:val="top"/>
          </w:tcPr>
          <w:p>
            <w:pPr>
              <w:spacing w:after="0"/>
              <w:ind w:left="0"/>
              <w:jc w:val="right"/>
            </w:pPr>
            <w:r>
              <w:rPr>
                <w:rFonts w:ascii="Courier New" w:hAnsi="Courier New"/>
                <w:b w:val="false"/>
                <w:i w:val="false"/>
                <w:color w:val="000000"/>
                <w:sz w:val="22"/>
              </w:rPr>
              <w:t>$ 89 per hour</w:t>
            </w:r>
          </w:p>
        </w:tc>
      </w:tr>
    </w:tbl>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b. Manufacturing overhead applied = 250 hours × $89 per hour = $22,250</w:t>
      </w:r>
      <w:r>
        <w:br/>
      </w:r>
      <w:r>
        <w:rPr>
          <w:rFonts w:ascii="Times New Roman" w:hAnsi="Times New Roman"/>
          <w:b w:val="false"/>
          <w:i w:val="false"/>
          <w:color w:val="000000"/>
          <w:sz w:val="32"/>
        </w:rPr>
        <w:t xml:space="preserve">   </w:t>
      </w:r>
      <w:r>
        <w:rPr>
          <w:rFonts w:ascii="Times New Roman" w:hAnsi="Times New Roman"/>
          <w:b w:val="false"/>
          <w:i w:val="false"/>
          <w:color w:val="000000"/>
          <w:sz w:val="32"/>
        </w:rPr>
        <w:t>c. Cost of unused capacity = (300 hours − 250 hours) × $89 per hour = $4,450</w:t>
      </w:r>
      <w:r>
        <w:br/>
      </w:r>
      <w:r>
        <w:rPr>
          <w:rFonts w:ascii="Times New Roman"/>
          <w:sz w:val="32"/>
        </w:rP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